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A05A" w14:textId="77777777" w:rsidR="00BC5654" w:rsidRPr="006E5099" w:rsidRDefault="000B0CDF">
      <w:pPr>
        <w:spacing w:before="87"/>
        <w:ind w:left="666" w:right="585"/>
        <w:jc w:val="center"/>
        <w:rPr>
          <w:rFonts w:asciiTheme="majorHAnsi" w:hAnsiTheme="majorHAnsi"/>
          <w:b/>
          <w:iCs/>
          <w:sz w:val="36"/>
          <w:szCs w:val="36"/>
        </w:rPr>
      </w:pPr>
      <w:bookmarkStart w:id="0" w:name="Employer_Registration_and_Job_Posting_Po"/>
      <w:bookmarkEnd w:id="0"/>
      <w:r w:rsidRPr="006E5099">
        <w:rPr>
          <w:rFonts w:asciiTheme="majorHAnsi" w:hAnsiTheme="majorHAnsi"/>
          <w:b/>
          <w:iCs/>
          <w:sz w:val="36"/>
          <w:szCs w:val="36"/>
        </w:rPr>
        <w:t>Employer Registration and Job Posting Policy</w:t>
      </w:r>
    </w:p>
    <w:p w14:paraId="7021A05B" w14:textId="77777777" w:rsidR="00BC5654" w:rsidRPr="00C5402F" w:rsidRDefault="00BC5654">
      <w:pPr>
        <w:pStyle w:val="BodyText"/>
        <w:spacing w:before="11"/>
        <w:rPr>
          <w:rFonts w:asciiTheme="majorHAnsi" w:hAnsiTheme="majorHAnsi"/>
          <w:b/>
          <w:iCs/>
          <w:sz w:val="24"/>
          <w:szCs w:val="24"/>
        </w:rPr>
      </w:pPr>
    </w:p>
    <w:p w14:paraId="7021A05C" w14:textId="77777777" w:rsidR="00BC5654" w:rsidRPr="00C67B3C" w:rsidRDefault="000B0CDF">
      <w:pPr>
        <w:pStyle w:val="Heading1"/>
        <w:rPr>
          <w:rFonts w:asciiTheme="majorHAnsi" w:hAnsiTheme="majorHAnsi"/>
          <w:i w:val="0"/>
          <w:iCs/>
        </w:rPr>
      </w:pPr>
      <w:bookmarkStart w:id="1" w:name="INTRODUCTION"/>
      <w:bookmarkEnd w:id="1"/>
      <w:r w:rsidRPr="00C67B3C">
        <w:rPr>
          <w:rFonts w:asciiTheme="majorHAnsi" w:hAnsiTheme="majorHAnsi"/>
          <w:i w:val="0"/>
          <w:iCs/>
        </w:rPr>
        <w:t>INTRODUCTION</w:t>
      </w:r>
    </w:p>
    <w:p w14:paraId="7021A05D" w14:textId="729AA520" w:rsidR="00BC5654" w:rsidRPr="00CE1E23" w:rsidRDefault="000B0CDF">
      <w:pPr>
        <w:pStyle w:val="BodyText"/>
        <w:spacing w:before="186"/>
        <w:ind w:left="107" w:right="221"/>
        <w:rPr>
          <w:rFonts w:asciiTheme="majorHAnsi" w:hAnsiTheme="majorHAnsi"/>
        </w:rPr>
      </w:pPr>
      <w:r w:rsidRPr="00CE1E23">
        <w:rPr>
          <w:rFonts w:asciiTheme="majorHAnsi" w:hAnsiTheme="majorHAnsi"/>
        </w:rPr>
        <w:t>The Wagner-Peyser Act requires the Maine Department of Labor (MDOL), Bureau of Employment Services (BES) to establish a labor exchange for the purpose of matching</w:t>
      </w:r>
      <w:r w:rsidR="00810A03" w:rsidRPr="00CE1E23">
        <w:rPr>
          <w:rFonts w:asciiTheme="majorHAnsi" w:hAnsiTheme="majorHAnsi"/>
        </w:rPr>
        <w:t xml:space="preserve"> </w:t>
      </w:r>
      <w:r w:rsidRPr="00CE1E23">
        <w:rPr>
          <w:rFonts w:asciiTheme="majorHAnsi" w:hAnsiTheme="majorHAnsi"/>
        </w:rPr>
        <w:t>and referring qualified job seekers to genuine employment opportunities. The MDOL uses an Internet based software system—the Maine JobLink (MJL)—to fulfill this responsibility. The purpose of this document is to set forth the Maine Department of Labor’s policies and expectations concerning employer access and use of the Maine JobLink.</w:t>
      </w:r>
    </w:p>
    <w:p w14:paraId="7021A05E" w14:textId="77777777" w:rsidR="00BC5654" w:rsidRPr="00CE1E23" w:rsidRDefault="00BC5654">
      <w:pPr>
        <w:pStyle w:val="BodyText"/>
        <w:spacing w:before="11"/>
        <w:rPr>
          <w:rFonts w:asciiTheme="majorHAnsi" w:hAnsiTheme="majorHAnsi"/>
          <w:sz w:val="20"/>
        </w:rPr>
      </w:pPr>
    </w:p>
    <w:p w14:paraId="7021A05F" w14:textId="77777777" w:rsidR="00BC5654" w:rsidRPr="00793AE4" w:rsidRDefault="000B0CDF">
      <w:pPr>
        <w:pStyle w:val="BodyText"/>
        <w:ind w:left="107" w:right="116"/>
        <w:rPr>
          <w:rFonts w:asciiTheme="majorHAnsi" w:hAnsiTheme="majorHAnsi"/>
        </w:rPr>
      </w:pPr>
      <w:r w:rsidRPr="00793AE4">
        <w:rPr>
          <w:rFonts w:asciiTheme="majorHAnsi" w:hAnsiTheme="majorHAnsi"/>
        </w:rPr>
        <w:t>Please note: the Maine JobLink uses a variety of means to refer qualified candidates to positions posted by employers. The Maine JobLink does not have access to criminal history records. Our review of candidates' backgrounds is limited to work and educational history. We do not conduct any further investigations, such as criminal background checks, before referring a candidate.</w:t>
      </w:r>
    </w:p>
    <w:p w14:paraId="7021A060" w14:textId="77777777" w:rsidR="00BC5654" w:rsidRPr="00142650" w:rsidRDefault="00BC5654">
      <w:pPr>
        <w:pStyle w:val="BodyText"/>
        <w:spacing w:before="10"/>
        <w:rPr>
          <w:rFonts w:asciiTheme="majorHAnsi" w:hAnsiTheme="majorHAnsi"/>
          <w:sz w:val="18"/>
          <w:szCs w:val="18"/>
        </w:rPr>
      </w:pPr>
    </w:p>
    <w:p w14:paraId="7021A061" w14:textId="77777777" w:rsidR="00BC5654" w:rsidRPr="00CE1E23" w:rsidRDefault="000B0CDF">
      <w:pPr>
        <w:pStyle w:val="Heading2"/>
        <w:spacing w:before="1"/>
        <w:rPr>
          <w:rFonts w:asciiTheme="majorHAnsi" w:hAnsiTheme="majorHAnsi"/>
          <w:u w:val="none"/>
        </w:rPr>
      </w:pPr>
      <w:r w:rsidRPr="00CE1E23">
        <w:rPr>
          <w:rFonts w:asciiTheme="majorHAnsi" w:hAnsiTheme="majorHAnsi"/>
          <w:u w:val="thick"/>
        </w:rPr>
        <w:t>Definition of Employer</w:t>
      </w:r>
    </w:p>
    <w:p w14:paraId="6E89016C" w14:textId="1420C53E" w:rsidR="00053B69" w:rsidRPr="00CE1E23" w:rsidRDefault="000B0CDF" w:rsidP="00B157B9">
      <w:pPr>
        <w:pStyle w:val="BodyText"/>
        <w:spacing w:before="101"/>
        <w:ind w:left="107" w:right="254"/>
        <w:rPr>
          <w:rFonts w:asciiTheme="majorHAnsi" w:hAnsiTheme="majorHAnsi"/>
        </w:rPr>
      </w:pPr>
      <w:r w:rsidRPr="00CE1E23">
        <w:rPr>
          <w:rFonts w:asciiTheme="majorHAnsi" w:hAnsiTheme="majorHAnsi"/>
        </w:rPr>
        <w:t>For the purposes of this policy, and as defined by U</w:t>
      </w:r>
      <w:r w:rsidR="005951D7" w:rsidRPr="00CE1E23">
        <w:rPr>
          <w:rFonts w:asciiTheme="majorHAnsi" w:hAnsiTheme="majorHAnsi"/>
        </w:rPr>
        <w:t>.</w:t>
      </w:r>
      <w:r w:rsidRPr="00CE1E23">
        <w:rPr>
          <w:rFonts w:asciiTheme="majorHAnsi" w:hAnsiTheme="majorHAnsi"/>
        </w:rPr>
        <w:t>S</w:t>
      </w:r>
      <w:r w:rsidR="005951D7" w:rsidRPr="00CE1E23">
        <w:rPr>
          <w:rFonts w:asciiTheme="majorHAnsi" w:hAnsiTheme="majorHAnsi"/>
        </w:rPr>
        <w:t>.</w:t>
      </w:r>
      <w:r w:rsidRPr="00CE1E23">
        <w:rPr>
          <w:rFonts w:asciiTheme="majorHAnsi" w:hAnsiTheme="majorHAnsi"/>
        </w:rPr>
        <w:t xml:space="preserve"> Department of Labor, an employer is a person, firm, corporation or other association or organization that</w:t>
      </w:r>
    </w:p>
    <w:p w14:paraId="7021A065" w14:textId="3085504B" w:rsidR="00BC5654" w:rsidRPr="00CE1E23" w:rsidRDefault="000B0CDF" w:rsidP="005B4198">
      <w:pPr>
        <w:pStyle w:val="ListParagraph"/>
        <w:numPr>
          <w:ilvl w:val="0"/>
          <w:numId w:val="6"/>
        </w:numPr>
        <w:rPr>
          <w:rFonts w:asciiTheme="majorHAnsi" w:hAnsiTheme="majorHAnsi"/>
        </w:rPr>
      </w:pPr>
      <w:r w:rsidRPr="00CE1E23">
        <w:rPr>
          <w:rFonts w:asciiTheme="majorHAnsi" w:hAnsiTheme="majorHAnsi"/>
          <w:sz w:val="21"/>
        </w:rPr>
        <w:t>is located i</w:t>
      </w:r>
      <w:r w:rsidR="00351821" w:rsidRPr="00CE1E23">
        <w:rPr>
          <w:rFonts w:asciiTheme="majorHAnsi" w:hAnsiTheme="majorHAnsi"/>
          <w:sz w:val="21"/>
        </w:rPr>
        <w:t>n</w:t>
      </w:r>
      <w:r w:rsidRPr="00CE1E23">
        <w:rPr>
          <w:rFonts w:asciiTheme="majorHAnsi" w:hAnsiTheme="majorHAnsi"/>
          <w:sz w:val="21"/>
        </w:rPr>
        <w:t xml:space="preserve"> the United states,</w:t>
      </w:r>
      <w:r w:rsidRPr="00CE1E23">
        <w:rPr>
          <w:rFonts w:asciiTheme="majorHAnsi" w:hAnsiTheme="majorHAnsi"/>
          <w:spacing w:val="-11"/>
          <w:sz w:val="21"/>
        </w:rPr>
        <w:t xml:space="preserve"> </w:t>
      </w:r>
      <w:r w:rsidRPr="00CE1E23">
        <w:rPr>
          <w:rFonts w:asciiTheme="majorHAnsi" w:hAnsiTheme="majorHAnsi"/>
          <w:sz w:val="21"/>
        </w:rPr>
        <w:t>and</w:t>
      </w:r>
    </w:p>
    <w:p w14:paraId="7021A066" w14:textId="1125DDF9" w:rsidR="00BC5654" w:rsidRPr="00CE1E23" w:rsidRDefault="000B0CDF" w:rsidP="005951D7">
      <w:pPr>
        <w:pStyle w:val="ListParagraph"/>
        <w:numPr>
          <w:ilvl w:val="0"/>
          <w:numId w:val="6"/>
        </w:numPr>
        <w:rPr>
          <w:rFonts w:asciiTheme="majorHAnsi" w:hAnsiTheme="majorHAnsi"/>
        </w:rPr>
      </w:pPr>
      <w:r w:rsidRPr="00CE1E23">
        <w:rPr>
          <w:rFonts w:asciiTheme="majorHAnsi" w:hAnsiTheme="majorHAnsi"/>
          <w:sz w:val="21"/>
        </w:rPr>
        <w:t>proposes to employ a worker within Maine,</w:t>
      </w:r>
      <w:r w:rsidRPr="00CE1E23">
        <w:rPr>
          <w:rFonts w:asciiTheme="majorHAnsi" w:hAnsiTheme="majorHAnsi"/>
          <w:spacing w:val="-17"/>
          <w:sz w:val="21"/>
        </w:rPr>
        <w:t xml:space="preserve"> </w:t>
      </w:r>
      <w:r w:rsidRPr="00CE1E23">
        <w:rPr>
          <w:rFonts w:asciiTheme="majorHAnsi" w:hAnsiTheme="majorHAnsi"/>
          <w:sz w:val="21"/>
        </w:rPr>
        <w:t>an</w:t>
      </w:r>
      <w:r w:rsidR="005951D7" w:rsidRPr="00CE1E23">
        <w:rPr>
          <w:rFonts w:asciiTheme="majorHAnsi" w:hAnsiTheme="majorHAnsi"/>
          <w:sz w:val="21"/>
        </w:rPr>
        <w:t>d</w:t>
      </w:r>
    </w:p>
    <w:p w14:paraId="510D5AC6" w14:textId="77777777" w:rsidR="005951D7" w:rsidRPr="00CE1E23" w:rsidRDefault="000B0CDF" w:rsidP="005951D7">
      <w:pPr>
        <w:pStyle w:val="ListParagraph"/>
        <w:numPr>
          <w:ilvl w:val="0"/>
          <w:numId w:val="6"/>
        </w:numPr>
        <w:rPr>
          <w:rFonts w:asciiTheme="majorHAnsi" w:hAnsiTheme="majorHAnsi"/>
        </w:rPr>
      </w:pPr>
      <w:r w:rsidRPr="00CE1E23">
        <w:rPr>
          <w:rFonts w:asciiTheme="majorHAnsi" w:hAnsiTheme="majorHAnsi"/>
          <w:sz w:val="21"/>
        </w:rPr>
        <w:t>hires, pays, fires, supervises and otherwise controls the employee’s work,</w:t>
      </w:r>
      <w:r w:rsidRPr="00CE1E23">
        <w:rPr>
          <w:rFonts w:asciiTheme="majorHAnsi" w:hAnsiTheme="majorHAnsi"/>
          <w:spacing w:val="-28"/>
          <w:sz w:val="21"/>
        </w:rPr>
        <w:t xml:space="preserve"> </w:t>
      </w:r>
      <w:r w:rsidRPr="00CE1E23">
        <w:rPr>
          <w:rFonts w:asciiTheme="majorHAnsi" w:hAnsiTheme="majorHAnsi"/>
          <w:sz w:val="21"/>
        </w:rPr>
        <w:t>and</w:t>
      </w:r>
    </w:p>
    <w:p w14:paraId="0A271522" w14:textId="77777777" w:rsidR="005951D7" w:rsidRPr="00CE1E23" w:rsidRDefault="000B0CDF" w:rsidP="005951D7">
      <w:pPr>
        <w:pStyle w:val="ListParagraph"/>
        <w:numPr>
          <w:ilvl w:val="0"/>
          <w:numId w:val="6"/>
        </w:numPr>
        <w:rPr>
          <w:rFonts w:asciiTheme="majorHAnsi" w:hAnsiTheme="majorHAnsi"/>
        </w:rPr>
      </w:pPr>
      <w:r w:rsidRPr="00CE1E23">
        <w:rPr>
          <w:rFonts w:asciiTheme="majorHAnsi" w:hAnsiTheme="majorHAnsi"/>
          <w:sz w:val="21"/>
        </w:rPr>
        <w:t>when applicable thresholds are met, withholds and submits quarterly payroll taxes,</w:t>
      </w:r>
      <w:r w:rsidRPr="00CE1E23">
        <w:rPr>
          <w:rFonts w:asciiTheme="majorHAnsi" w:hAnsiTheme="majorHAnsi"/>
          <w:spacing w:val="-27"/>
          <w:sz w:val="21"/>
        </w:rPr>
        <w:t xml:space="preserve"> </w:t>
      </w:r>
      <w:r w:rsidRPr="00CE1E23">
        <w:rPr>
          <w:rFonts w:asciiTheme="majorHAnsi" w:hAnsiTheme="majorHAnsi"/>
          <w:sz w:val="21"/>
        </w:rPr>
        <w:t>and</w:t>
      </w:r>
    </w:p>
    <w:p w14:paraId="7021A069" w14:textId="553916A8" w:rsidR="00BC5654" w:rsidRPr="00CE1E23" w:rsidRDefault="000B0CDF" w:rsidP="005951D7">
      <w:pPr>
        <w:pStyle w:val="ListParagraph"/>
        <w:numPr>
          <w:ilvl w:val="0"/>
          <w:numId w:val="6"/>
        </w:numPr>
        <w:rPr>
          <w:rFonts w:asciiTheme="majorHAnsi" w:hAnsiTheme="majorHAnsi"/>
        </w:rPr>
      </w:pPr>
      <w:r w:rsidRPr="00CE1E23">
        <w:rPr>
          <w:rFonts w:asciiTheme="majorHAnsi" w:hAnsiTheme="majorHAnsi"/>
          <w:sz w:val="21"/>
        </w:rPr>
        <w:t>issues (or intends to issue) IRS Forms W-2 showing the employee’s wages, tips and other compensation earned and taxes withheld while the employee is in the employer’s</w:t>
      </w:r>
      <w:r w:rsidRPr="00CE1E23">
        <w:rPr>
          <w:rFonts w:asciiTheme="majorHAnsi" w:hAnsiTheme="majorHAnsi"/>
          <w:spacing w:val="-27"/>
          <w:sz w:val="21"/>
        </w:rPr>
        <w:t xml:space="preserve"> </w:t>
      </w:r>
      <w:r w:rsidRPr="00CE1E23">
        <w:rPr>
          <w:rFonts w:asciiTheme="majorHAnsi" w:hAnsiTheme="majorHAnsi"/>
          <w:sz w:val="21"/>
        </w:rPr>
        <w:t>employment.</w:t>
      </w:r>
    </w:p>
    <w:p w14:paraId="7021A06A" w14:textId="77777777" w:rsidR="00BC5654" w:rsidRPr="00142650" w:rsidRDefault="00BC5654">
      <w:pPr>
        <w:pStyle w:val="BodyText"/>
        <w:spacing w:before="3"/>
        <w:rPr>
          <w:rFonts w:asciiTheme="majorHAnsi" w:hAnsiTheme="majorHAnsi"/>
          <w:sz w:val="18"/>
          <w:szCs w:val="18"/>
        </w:rPr>
      </w:pPr>
    </w:p>
    <w:p w14:paraId="7021A06B" w14:textId="33F172BE" w:rsidR="00BC5654" w:rsidRDefault="000B0CDF">
      <w:pPr>
        <w:pStyle w:val="Heading2"/>
        <w:rPr>
          <w:rFonts w:asciiTheme="majorHAnsi" w:hAnsiTheme="majorHAnsi"/>
          <w:u w:val="thick"/>
        </w:rPr>
      </w:pPr>
      <w:r w:rsidRPr="00CE1E23">
        <w:rPr>
          <w:rFonts w:asciiTheme="majorHAnsi" w:hAnsiTheme="majorHAnsi"/>
          <w:u w:val="thick"/>
        </w:rPr>
        <w:t>Establishing an Employer Account in the Maine JobLink</w:t>
      </w:r>
    </w:p>
    <w:p w14:paraId="50CBA21D" w14:textId="77777777" w:rsidR="00B157B9" w:rsidRPr="00B157B9" w:rsidRDefault="00B157B9">
      <w:pPr>
        <w:pStyle w:val="Heading2"/>
        <w:rPr>
          <w:rFonts w:asciiTheme="majorHAnsi" w:hAnsiTheme="majorHAnsi"/>
          <w:sz w:val="12"/>
          <w:szCs w:val="12"/>
          <w:u w:val="none"/>
        </w:rPr>
      </w:pPr>
    </w:p>
    <w:p w14:paraId="7021A06D" w14:textId="6E434D32" w:rsidR="00BC5654" w:rsidRPr="00CE1E23" w:rsidRDefault="000B0CDF" w:rsidP="00B157B9">
      <w:pPr>
        <w:pStyle w:val="BodyText"/>
        <w:ind w:left="107" w:right="175"/>
        <w:rPr>
          <w:rFonts w:asciiTheme="majorHAnsi" w:hAnsiTheme="majorHAnsi"/>
        </w:rPr>
      </w:pPr>
      <w:r w:rsidRPr="00CE1E23">
        <w:rPr>
          <w:rFonts w:asciiTheme="majorHAnsi" w:hAnsiTheme="majorHAnsi"/>
        </w:rPr>
        <w:t>Entities meeting the definition of employer</w:t>
      </w:r>
      <w:r w:rsidR="002A3C61" w:rsidRPr="00CE1E23">
        <w:rPr>
          <w:rFonts w:asciiTheme="majorHAnsi" w:hAnsiTheme="majorHAnsi"/>
        </w:rPr>
        <w:t xml:space="preserve"> </w:t>
      </w:r>
      <w:r w:rsidRPr="00CE1E23">
        <w:rPr>
          <w:rFonts w:asciiTheme="majorHAnsi" w:hAnsiTheme="majorHAnsi"/>
        </w:rPr>
        <w:t>given above</w:t>
      </w:r>
      <w:r w:rsidR="002A3C61" w:rsidRPr="00CE1E23">
        <w:rPr>
          <w:rFonts w:asciiTheme="majorHAnsi" w:hAnsiTheme="majorHAnsi"/>
        </w:rPr>
        <w:t>,</w:t>
      </w:r>
      <w:r w:rsidRPr="00CE1E23">
        <w:rPr>
          <w:rFonts w:asciiTheme="majorHAnsi" w:hAnsiTheme="majorHAnsi"/>
        </w:rPr>
        <w:t xml:space="preserve"> may establish an account in the Maine JobLink for the purpose of posting employment opportunitie</w:t>
      </w:r>
      <w:r w:rsidR="002A3C61" w:rsidRPr="00CE1E23">
        <w:rPr>
          <w:rFonts w:asciiTheme="majorHAnsi" w:hAnsiTheme="majorHAnsi"/>
        </w:rPr>
        <w:t xml:space="preserve">s, and </w:t>
      </w:r>
      <w:r w:rsidRPr="00CE1E23">
        <w:rPr>
          <w:rFonts w:asciiTheme="majorHAnsi" w:hAnsiTheme="majorHAnsi"/>
        </w:rPr>
        <w:t>receiving applicant self-referrals and staff-assisted referrals of qualified applicants. Employers are encouraged to use the “self-service” method to complete and submit their registration; however, assistance with the registration process is available by calling the Maine JobLink Helpline at 207-623-7967.</w:t>
      </w:r>
    </w:p>
    <w:p w14:paraId="7021A06E" w14:textId="77777777" w:rsidR="00BC5654" w:rsidRPr="00CE1E23" w:rsidRDefault="00BC5654">
      <w:pPr>
        <w:pStyle w:val="BodyText"/>
        <w:spacing w:before="10"/>
        <w:rPr>
          <w:rFonts w:asciiTheme="majorHAnsi" w:hAnsiTheme="majorHAnsi"/>
          <w:sz w:val="20"/>
        </w:rPr>
      </w:pPr>
    </w:p>
    <w:p w14:paraId="7021A06F" w14:textId="77777777" w:rsidR="00BC5654" w:rsidRPr="00CE1E23" w:rsidRDefault="000B0CDF">
      <w:pPr>
        <w:pStyle w:val="BodyText"/>
        <w:ind w:left="107" w:right="108"/>
        <w:rPr>
          <w:rFonts w:asciiTheme="majorHAnsi" w:hAnsiTheme="majorHAnsi"/>
        </w:rPr>
      </w:pPr>
      <w:r w:rsidRPr="00CE1E23">
        <w:rPr>
          <w:rFonts w:asciiTheme="majorHAnsi" w:hAnsiTheme="majorHAnsi"/>
        </w:rPr>
        <w:t>When a Maine JobLink employer registration is received, the Maine JobLink staff will review the registration information and take reasonable steps to determine if the registrant meets the definition of employer given above. These steps may include, but are not limited to, corresponding with the registrant by telephone or e-mail, reviewing the registrant company’s web site, using various Internet search systems to corroborate the information given in the registration, cross-referencing the FEIN and/or UI Tax Account information provided in the registration with existing Maine Revenue records. Normally this review will be accomplished within (3) business days of receiving the registration.</w:t>
      </w:r>
    </w:p>
    <w:p w14:paraId="7021A071" w14:textId="77777777" w:rsidR="00BC5654" w:rsidRPr="000831A2" w:rsidRDefault="00BC5654">
      <w:pPr>
        <w:pStyle w:val="BodyText"/>
        <w:spacing w:before="8"/>
        <w:rPr>
          <w:rFonts w:asciiTheme="majorHAnsi" w:hAnsiTheme="majorHAnsi"/>
          <w:sz w:val="18"/>
          <w:szCs w:val="18"/>
        </w:rPr>
      </w:pPr>
    </w:p>
    <w:p w14:paraId="7021A072" w14:textId="77777777" w:rsidR="00BC5654" w:rsidRPr="00CE1E23" w:rsidRDefault="000B0CDF">
      <w:pPr>
        <w:pStyle w:val="Heading2"/>
        <w:rPr>
          <w:rFonts w:asciiTheme="majorHAnsi" w:hAnsiTheme="majorHAnsi"/>
          <w:u w:val="none"/>
        </w:rPr>
      </w:pPr>
      <w:r w:rsidRPr="00CE1E23">
        <w:rPr>
          <w:rFonts w:asciiTheme="majorHAnsi" w:hAnsiTheme="majorHAnsi"/>
          <w:u w:val="thick"/>
        </w:rPr>
        <w:t>Federal Employer Identification Number (FEIN) versus Social Security Number (SSN)</w:t>
      </w:r>
    </w:p>
    <w:p w14:paraId="7A0E4FAB" w14:textId="3A114044" w:rsidR="005951D7" w:rsidRPr="00CE1E23" w:rsidRDefault="000B0CDF" w:rsidP="005951D7">
      <w:pPr>
        <w:pStyle w:val="BodyText"/>
        <w:spacing w:before="185"/>
        <w:ind w:left="107" w:right="2140"/>
        <w:rPr>
          <w:rFonts w:asciiTheme="majorHAnsi" w:hAnsiTheme="majorHAnsi"/>
        </w:rPr>
      </w:pPr>
      <w:r w:rsidRPr="00CE1E23">
        <w:rPr>
          <w:rFonts w:asciiTheme="majorHAnsi" w:hAnsiTheme="majorHAnsi"/>
        </w:rPr>
        <w:t>Generally, an employer account requires entry of the Federal Employer Identification Number (FEIN); however, there are two exceptions to this general rule:</w:t>
      </w:r>
    </w:p>
    <w:p w14:paraId="2E47E1A2" w14:textId="50071083" w:rsidR="005951D7" w:rsidRPr="00CE1E23" w:rsidRDefault="000B0CDF" w:rsidP="003929F1">
      <w:pPr>
        <w:pStyle w:val="ListParagraph"/>
        <w:numPr>
          <w:ilvl w:val="0"/>
          <w:numId w:val="21"/>
        </w:numPr>
        <w:rPr>
          <w:rFonts w:asciiTheme="majorHAnsi" w:hAnsiTheme="majorHAnsi"/>
          <w:sz w:val="21"/>
          <w:szCs w:val="21"/>
        </w:rPr>
      </w:pPr>
      <w:r w:rsidRPr="00CE1E23">
        <w:rPr>
          <w:rFonts w:asciiTheme="majorHAnsi" w:hAnsiTheme="majorHAnsi"/>
          <w:sz w:val="21"/>
          <w:szCs w:val="21"/>
        </w:rPr>
        <w:t>If an employer uses his/her SSN rather than a FEIN because the employer operates a business as a sole proprietor or is employing individuals to work in his/her household, the SSN can be</w:t>
      </w:r>
      <w:r w:rsidRPr="00CE1E23">
        <w:rPr>
          <w:rFonts w:asciiTheme="majorHAnsi" w:hAnsiTheme="majorHAnsi"/>
          <w:spacing w:val="-37"/>
          <w:sz w:val="21"/>
          <w:szCs w:val="21"/>
        </w:rPr>
        <w:t xml:space="preserve"> </w:t>
      </w:r>
      <w:r w:rsidRPr="00CE1E23">
        <w:rPr>
          <w:rFonts w:asciiTheme="majorHAnsi" w:hAnsiTheme="majorHAnsi"/>
          <w:sz w:val="21"/>
          <w:szCs w:val="21"/>
        </w:rPr>
        <w:t>used.</w:t>
      </w:r>
    </w:p>
    <w:p w14:paraId="7021A075" w14:textId="22944C82" w:rsidR="00BC5654" w:rsidRPr="00CE1E23" w:rsidRDefault="000B0CDF" w:rsidP="003929F1">
      <w:pPr>
        <w:pStyle w:val="ListParagraph"/>
        <w:numPr>
          <w:ilvl w:val="0"/>
          <w:numId w:val="21"/>
        </w:numPr>
        <w:rPr>
          <w:rFonts w:asciiTheme="majorHAnsi" w:hAnsiTheme="majorHAnsi"/>
          <w:sz w:val="21"/>
          <w:szCs w:val="21"/>
        </w:rPr>
      </w:pPr>
      <w:r w:rsidRPr="00CE1E23">
        <w:rPr>
          <w:rFonts w:asciiTheme="majorHAnsi" w:hAnsiTheme="majorHAnsi"/>
          <w:sz w:val="21"/>
          <w:szCs w:val="21"/>
        </w:rPr>
        <w:t xml:space="preserve">If a new business is in the process of obtaining a FEIN, the employer’s SSN may be used </w:t>
      </w:r>
      <w:r w:rsidRPr="00CE1E23">
        <w:rPr>
          <w:rFonts w:asciiTheme="majorHAnsi" w:hAnsiTheme="majorHAnsi"/>
          <w:i/>
          <w:sz w:val="21"/>
          <w:szCs w:val="21"/>
        </w:rPr>
        <w:t>temporarily</w:t>
      </w:r>
      <w:r w:rsidRPr="00CE1E23">
        <w:rPr>
          <w:rFonts w:asciiTheme="majorHAnsi" w:hAnsiTheme="majorHAnsi"/>
          <w:sz w:val="21"/>
          <w:szCs w:val="21"/>
        </w:rPr>
        <w:t>, with the expectation that the employer will update the account to provide FEIN when it is</w:t>
      </w:r>
      <w:r w:rsidRPr="00CE1E23">
        <w:rPr>
          <w:rFonts w:asciiTheme="majorHAnsi" w:hAnsiTheme="majorHAnsi"/>
          <w:spacing w:val="-5"/>
          <w:sz w:val="21"/>
          <w:szCs w:val="21"/>
        </w:rPr>
        <w:t xml:space="preserve"> </w:t>
      </w:r>
      <w:r w:rsidRPr="00CE1E23">
        <w:rPr>
          <w:rFonts w:asciiTheme="majorHAnsi" w:hAnsiTheme="majorHAnsi"/>
          <w:sz w:val="21"/>
          <w:szCs w:val="21"/>
        </w:rPr>
        <w:t>obtained.</w:t>
      </w:r>
    </w:p>
    <w:p w14:paraId="7021A076" w14:textId="77777777" w:rsidR="00BC5654" w:rsidRPr="00CE1E23" w:rsidRDefault="00BC5654">
      <w:pPr>
        <w:rPr>
          <w:rFonts w:asciiTheme="majorHAnsi" w:hAnsiTheme="majorHAnsi"/>
          <w:sz w:val="21"/>
        </w:rPr>
        <w:sectPr w:rsidR="00BC5654" w:rsidRPr="00CE1E23" w:rsidSect="009C255F">
          <w:type w:val="continuous"/>
          <w:pgSz w:w="12240" w:h="15840"/>
          <w:pgMar w:top="576" w:right="979" w:bottom="274" w:left="907" w:header="720" w:footer="720" w:gutter="0"/>
          <w:cols w:space="720"/>
        </w:sectPr>
      </w:pPr>
    </w:p>
    <w:p w14:paraId="7021A077" w14:textId="77777777" w:rsidR="00BC5654" w:rsidRPr="00CE1E23" w:rsidRDefault="000B0CDF">
      <w:pPr>
        <w:pStyle w:val="Heading2"/>
        <w:spacing w:before="90"/>
        <w:rPr>
          <w:rFonts w:asciiTheme="majorHAnsi" w:hAnsiTheme="majorHAnsi"/>
          <w:u w:val="none"/>
        </w:rPr>
      </w:pPr>
      <w:r w:rsidRPr="00CE1E23">
        <w:rPr>
          <w:rFonts w:asciiTheme="majorHAnsi" w:hAnsiTheme="majorHAnsi"/>
          <w:u w:val="thick"/>
        </w:rPr>
        <w:lastRenderedPageBreak/>
        <w:t>Third-Parties Acting on the Employer’s Behalf</w:t>
      </w:r>
    </w:p>
    <w:p w14:paraId="7021A078" w14:textId="77777777" w:rsidR="00BC5654" w:rsidRPr="00CE1E23" w:rsidRDefault="000B0CDF">
      <w:pPr>
        <w:pStyle w:val="BodyText"/>
        <w:spacing w:before="185" w:line="243" w:lineRule="exact"/>
        <w:ind w:left="107"/>
        <w:rPr>
          <w:rFonts w:asciiTheme="majorHAnsi" w:hAnsiTheme="majorHAnsi"/>
        </w:rPr>
      </w:pPr>
      <w:r w:rsidRPr="00CE1E23">
        <w:rPr>
          <w:rFonts w:asciiTheme="majorHAnsi" w:hAnsiTheme="majorHAnsi"/>
        </w:rPr>
        <w:t>Third-parties acting on the employer’s behalf should register the account in the employer’s name and</w:t>
      </w:r>
    </w:p>
    <w:p w14:paraId="7021A079" w14:textId="77777777" w:rsidR="00BC5654" w:rsidRPr="00CE1E23" w:rsidRDefault="000B0CDF" w:rsidP="003929F1">
      <w:pPr>
        <w:pStyle w:val="ListParagraph"/>
        <w:numPr>
          <w:ilvl w:val="0"/>
          <w:numId w:val="22"/>
        </w:numPr>
        <w:rPr>
          <w:rFonts w:asciiTheme="majorHAnsi" w:hAnsiTheme="majorHAnsi"/>
          <w:sz w:val="21"/>
          <w:szCs w:val="21"/>
        </w:rPr>
      </w:pPr>
      <w:r w:rsidRPr="00CE1E23">
        <w:rPr>
          <w:rFonts w:asciiTheme="majorHAnsi" w:hAnsiTheme="majorHAnsi"/>
          <w:sz w:val="21"/>
          <w:szCs w:val="21"/>
        </w:rPr>
        <w:t>Use the employer’s FEIN, Maine Unemployment Insurance (UI) Account Number and mailing address,</w:t>
      </w:r>
    </w:p>
    <w:p w14:paraId="7021A07A" w14:textId="77777777" w:rsidR="00BC5654" w:rsidRPr="00CE1E23" w:rsidRDefault="000B0CDF" w:rsidP="003929F1">
      <w:pPr>
        <w:pStyle w:val="ListParagraph"/>
        <w:numPr>
          <w:ilvl w:val="0"/>
          <w:numId w:val="22"/>
        </w:numPr>
        <w:rPr>
          <w:rFonts w:asciiTheme="majorHAnsi" w:hAnsiTheme="majorHAnsi"/>
          <w:sz w:val="21"/>
          <w:szCs w:val="21"/>
        </w:rPr>
      </w:pPr>
      <w:r w:rsidRPr="00CE1E23">
        <w:rPr>
          <w:rFonts w:asciiTheme="majorHAnsi" w:hAnsiTheme="majorHAnsi"/>
          <w:sz w:val="21"/>
          <w:szCs w:val="21"/>
        </w:rPr>
        <w:t>Include the employer’s contact name and phone number as primary contact, and</w:t>
      </w:r>
    </w:p>
    <w:p w14:paraId="7021A07B" w14:textId="77777777" w:rsidR="00BC5654" w:rsidRPr="00CE1E23" w:rsidRDefault="000B0CDF" w:rsidP="003929F1">
      <w:pPr>
        <w:pStyle w:val="ListParagraph"/>
        <w:numPr>
          <w:ilvl w:val="0"/>
          <w:numId w:val="22"/>
        </w:numPr>
        <w:rPr>
          <w:rFonts w:asciiTheme="majorHAnsi" w:hAnsiTheme="majorHAnsi"/>
          <w:sz w:val="21"/>
          <w:szCs w:val="21"/>
        </w:rPr>
      </w:pPr>
      <w:r w:rsidRPr="00CE1E23">
        <w:rPr>
          <w:rFonts w:asciiTheme="majorHAnsi" w:hAnsiTheme="majorHAnsi"/>
          <w:sz w:val="21"/>
          <w:szCs w:val="21"/>
        </w:rPr>
        <w:t>Show the third-party as the secondary contact.</w:t>
      </w:r>
    </w:p>
    <w:p w14:paraId="7021A07C" w14:textId="77777777" w:rsidR="00BC5654" w:rsidRPr="00CE1E23" w:rsidRDefault="00BC5654">
      <w:pPr>
        <w:pStyle w:val="BodyText"/>
        <w:spacing w:before="2"/>
        <w:rPr>
          <w:rFonts w:asciiTheme="majorHAnsi" w:hAnsiTheme="majorHAnsi"/>
        </w:rPr>
      </w:pPr>
    </w:p>
    <w:p w14:paraId="7021A07D" w14:textId="3A0E3DE1" w:rsidR="00BC5654" w:rsidRDefault="000B0CDF">
      <w:pPr>
        <w:pStyle w:val="BodyText"/>
        <w:ind w:left="107" w:right="228"/>
        <w:rPr>
          <w:rFonts w:asciiTheme="majorHAnsi" w:hAnsiTheme="majorHAnsi"/>
        </w:rPr>
      </w:pPr>
      <w:r w:rsidRPr="00CE1E23">
        <w:rPr>
          <w:rFonts w:asciiTheme="majorHAnsi" w:hAnsiTheme="majorHAnsi"/>
        </w:rPr>
        <w:t>Please note: several options are available for employers who wish to prevent the primary and additional contact names and phone numbers from displaying to the job seeker; staff will be glad to assist in helping the employer determine which option(s) will best meet the employer’s needs.</w:t>
      </w:r>
    </w:p>
    <w:p w14:paraId="4F68ABAA" w14:textId="7D8E8B2B" w:rsidR="00456407" w:rsidRPr="00094B51" w:rsidRDefault="00456407">
      <w:pPr>
        <w:pStyle w:val="BodyText"/>
        <w:ind w:left="107" w:right="228"/>
        <w:rPr>
          <w:rFonts w:asciiTheme="majorHAnsi" w:hAnsiTheme="majorHAnsi"/>
          <w:sz w:val="18"/>
          <w:szCs w:val="18"/>
        </w:rPr>
      </w:pPr>
    </w:p>
    <w:p w14:paraId="607DFED5" w14:textId="03F7A7D3" w:rsidR="00456407" w:rsidRPr="00BF7FE5" w:rsidRDefault="00972680">
      <w:pPr>
        <w:pStyle w:val="BodyText"/>
        <w:ind w:left="107" w:right="228"/>
        <w:rPr>
          <w:rFonts w:asciiTheme="majorHAnsi" w:hAnsiTheme="majorHAnsi"/>
          <w:b/>
          <w:bCs/>
          <w:u w:val="single"/>
        </w:rPr>
      </w:pPr>
      <w:r>
        <w:rPr>
          <w:rFonts w:asciiTheme="majorHAnsi" w:hAnsiTheme="majorHAnsi"/>
          <w:b/>
          <w:bCs/>
          <w:u w:val="single"/>
        </w:rPr>
        <w:t xml:space="preserve">Registered </w:t>
      </w:r>
      <w:r w:rsidR="00FB3D00" w:rsidRPr="00BF7FE5">
        <w:rPr>
          <w:rFonts w:asciiTheme="majorHAnsi" w:hAnsiTheme="majorHAnsi"/>
          <w:b/>
          <w:bCs/>
          <w:u w:val="single"/>
        </w:rPr>
        <w:t xml:space="preserve">Apprenticeship </w:t>
      </w:r>
      <w:r>
        <w:rPr>
          <w:rFonts w:asciiTheme="majorHAnsi" w:hAnsiTheme="majorHAnsi"/>
          <w:b/>
          <w:bCs/>
          <w:u w:val="single"/>
        </w:rPr>
        <w:t xml:space="preserve">Employer/Sponsors </w:t>
      </w:r>
    </w:p>
    <w:p w14:paraId="48ED8B9A" w14:textId="77777777" w:rsidR="009F68E5" w:rsidRDefault="009F68E5" w:rsidP="009F68E5">
      <w:pPr>
        <w:pStyle w:val="BodyText"/>
        <w:ind w:left="107" w:right="228"/>
        <w:rPr>
          <w:rFonts w:ascii="Cambria" w:hAnsi="Cambria"/>
        </w:rPr>
      </w:pPr>
    </w:p>
    <w:p w14:paraId="375FE29D" w14:textId="71D90371" w:rsidR="00FB3D00" w:rsidRPr="007F73CF" w:rsidRDefault="009F68E5" w:rsidP="007F73CF">
      <w:pPr>
        <w:pStyle w:val="BodyText"/>
        <w:ind w:left="107" w:right="228"/>
        <w:rPr>
          <w:rFonts w:ascii="Cambria" w:eastAsiaTheme="minorHAnsi" w:hAnsi="Cambria" w:cs="Calibri"/>
        </w:rPr>
      </w:pPr>
      <w:r>
        <w:rPr>
          <w:rFonts w:ascii="Cambria" w:hAnsi="Cambria"/>
        </w:rPr>
        <w:t xml:space="preserve">Employer/sponsors </w:t>
      </w:r>
      <w:r w:rsidR="00467F96">
        <w:rPr>
          <w:rFonts w:ascii="Cambria" w:hAnsi="Cambria"/>
        </w:rPr>
        <w:t>with</w:t>
      </w:r>
      <w:r w:rsidR="00A04DD6">
        <w:rPr>
          <w:rFonts w:ascii="Cambria" w:hAnsi="Cambria"/>
        </w:rPr>
        <w:t xml:space="preserve"> apprenticeship</w:t>
      </w:r>
      <w:r w:rsidR="00467F96">
        <w:rPr>
          <w:rFonts w:ascii="Cambria" w:hAnsi="Cambria"/>
        </w:rPr>
        <w:t xml:space="preserve"> </w:t>
      </w:r>
      <w:r w:rsidR="00194ECA">
        <w:rPr>
          <w:rFonts w:ascii="Cambria" w:hAnsi="Cambria"/>
        </w:rPr>
        <w:t>program</w:t>
      </w:r>
      <w:r w:rsidR="007F73CF">
        <w:rPr>
          <w:rFonts w:ascii="Cambria" w:hAnsi="Cambria"/>
        </w:rPr>
        <w:t>(s)</w:t>
      </w:r>
      <w:r w:rsidR="00226D50">
        <w:rPr>
          <w:rFonts w:ascii="Cambria" w:hAnsi="Cambria"/>
        </w:rPr>
        <w:t xml:space="preserve"> </w:t>
      </w:r>
      <w:r w:rsidR="00A04DD6">
        <w:rPr>
          <w:rFonts w:ascii="Cambria" w:hAnsi="Cambria"/>
        </w:rPr>
        <w:t xml:space="preserve">registered with the </w:t>
      </w:r>
      <w:r>
        <w:rPr>
          <w:rFonts w:ascii="Cambria" w:hAnsi="Cambria"/>
        </w:rPr>
        <w:t>Maine Apprenticeship</w:t>
      </w:r>
      <w:r w:rsidR="00A04DD6">
        <w:rPr>
          <w:rFonts w:ascii="Cambria" w:hAnsi="Cambria"/>
        </w:rPr>
        <w:t xml:space="preserve"> Program</w:t>
      </w:r>
      <w:r>
        <w:rPr>
          <w:rFonts w:ascii="Cambria" w:hAnsi="Cambria"/>
        </w:rPr>
        <w:t xml:space="preserve"> may list their apprenticeship openings on the Maine JobLink.  In order to list the apprenticeship opportunity, employer/sponsors must have an active Maine JobLink employer account and create a job order displaying the words ‘apprentice’ and/or ‘apprenticeship’ in the job title and/or description</w:t>
      </w:r>
      <w:r w:rsidR="00AF17FE">
        <w:rPr>
          <w:rFonts w:ascii="Cambria" w:hAnsi="Cambria"/>
        </w:rPr>
        <w:t>.</w:t>
      </w:r>
      <w:r>
        <w:rPr>
          <w:rFonts w:ascii="Cambria" w:hAnsi="Cambria"/>
        </w:rPr>
        <w:t xml:space="preserve"> </w:t>
      </w:r>
    </w:p>
    <w:p w14:paraId="7021A07E" w14:textId="77777777" w:rsidR="00BC5654" w:rsidRPr="00094B51" w:rsidRDefault="00BC5654">
      <w:pPr>
        <w:pStyle w:val="BodyText"/>
        <w:spacing w:before="7"/>
        <w:rPr>
          <w:rFonts w:asciiTheme="majorHAnsi" w:hAnsiTheme="majorHAnsi"/>
          <w:sz w:val="18"/>
          <w:szCs w:val="18"/>
        </w:rPr>
      </w:pPr>
    </w:p>
    <w:p w14:paraId="7021A07F" w14:textId="77777777" w:rsidR="00BC5654" w:rsidRPr="00CE1E23" w:rsidRDefault="000B0CDF">
      <w:pPr>
        <w:pStyle w:val="Heading2"/>
        <w:rPr>
          <w:rFonts w:asciiTheme="majorHAnsi" w:hAnsiTheme="majorHAnsi"/>
          <w:u w:val="none"/>
        </w:rPr>
      </w:pPr>
      <w:r w:rsidRPr="00CE1E23">
        <w:rPr>
          <w:rFonts w:asciiTheme="majorHAnsi" w:hAnsiTheme="majorHAnsi"/>
          <w:u w:val="thick"/>
        </w:rPr>
        <w:t>Account Pending Verification</w:t>
      </w:r>
    </w:p>
    <w:p w14:paraId="7021A080" w14:textId="77777777" w:rsidR="00BC5654" w:rsidRPr="00CE1E23" w:rsidRDefault="000B0CDF">
      <w:pPr>
        <w:pStyle w:val="BodyText"/>
        <w:spacing w:before="185"/>
        <w:ind w:left="107" w:right="726"/>
        <w:rPr>
          <w:rFonts w:asciiTheme="majorHAnsi" w:hAnsiTheme="majorHAnsi"/>
        </w:rPr>
      </w:pPr>
      <w:r w:rsidRPr="00CE1E23">
        <w:rPr>
          <w:rFonts w:asciiTheme="majorHAnsi" w:hAnsiTheme="majorHAnsi"/>
        </w:rPr>
        <w:t>While the Maine JobLink staff reviews the registration information of new accounts, the account will remain in pending verification status.</w:t>
      </w:r>
    </w:p>
    <w:p w14:paraId="7021A082" w14:textId="77777777" w:rsidR="00BC5654" w:rsidRPr="000A03E3" w:rsidRDefault="00BC5654">
      <w:pPr>
        <w:pStyle w:val="BodyText"/>
        <w:spacing w:before="9"/>
        <w:rPr>
          <w:rFonts w:asciiTheme="majorHAnsi" w:hAnsiTheme="majorHAnsi"/>
          <w:sz w:val="24"/>
          <w:szCs w:val="24"/>
        </w:rPr>
      </w:pPr>
    </w:p>
    <w:p w14:paraId="7021A083" w14:textId="77777777" w:rsidR="00BC5654" w:rsidRPr="00345677" w:rsidRDefault="000B0CDF">
      <w:pPr>
        <w:pStyle w:val="Heading1"/>
        <w:ind w:left="4363" w:right="4306"/>
        <w:rPr>
          <w:rFonts w:asciiTheme="majorHAnsi" w:hAnsiTheme="majorHAnsi"/>
          <w:i w:val="0"/>
          <w:iCs/>
        </w:rPr>
      </w:pPr>
      <w:bookmarkStart w:id="2" w:name="JOB_POSTINGS"/>
      <w:bookmarkEnd w:id="2"/>
      <w:r w:rsidRPr="00345677">
        <w:rPr>
          <w:rFonts w:asciiTheme="majorHAnsi" w:hAnsiTheme="majorHAnsi"/>
          <w:i w:val="0"/>
          <w:iCs/>
        </w:rPr>
        <w:t>JOB POSTINGS</w:t>
      </w:r>
    </w:p>
    <w:p w14:paraId="7021A084" w14:textId="48E53F43" w:rsidR="00BC5654" w:rsidRPr="00CE1E23" w:rsidRDefault="000B0CDF">
      <w:pPr>
        <w:pStyle w:val="BodyText"/>
        <w:spacing w:before="121"/>
        <w:ind w:left="107" w:right="369"/>
        <w:rPr>
          <w:rFonts w:asciiTheme="majorHAnsi" w:hAnsiTheme="majorHAnsi"/>
        </w:rPr>
      </w:pPr>
      <w:r w:rsidRPr="00CE1E23">
        <w:rPr>
          <w:rFonts w:asciiTheme="majorHAnsi" w:hAnsiTheme="majorHAnsi"/>
        </w:rPr>
        <w:t xml:space="preserve">Employers may enter job postings at any time after submitting the account registration; however, Maine JobLink staff will approve the account and complete the </w:t>
      </w:r>
      <w:r w:rsidR="00351821" w:rsidRPr="00CE1E23">
        <w:rPr>
          <w:rFonts w:asciiTheme="majorHAnsi" w:hAnsiTheme="majorHAnsi"/>
        </w:rPr>
        <w:t>v</w:t>
      </w:r>
      <w:r w:rsidRPr="00CE1E23">
        <w:rPr>
          <w:rFonts w:asciiTheme="majorHAnsi" w:hAnsiTheme="majorHAnsi"/>
        </w:rPr>
        <w:t>eteran’s matching process before job orders display to the general</w:t>
      </w:r>
      <w:r w:rsidR="004C5C7E" w:rsidRPr="00CE1E23">
        <w:rPr>
          <w:rFonts w:asciiTheme="majorHAnsi" w:hAnsiTheme="majorHAnsi"/>
        </w:rPr>
        <w:t xml:space="preserve"> </w:t>
      </w:r>
      <w:r w:rsidRPr="00CE1E23">
        <w:rPr>
          <w:rFonts w:asciiTheme="majorHAnsi" w:hAnsiTheme="majorHAnsi"/>
        </w:rPr>
        <w:t>public.</w:t>
      </w:r>
    </w:p>
    <w:p w14:paraId="7021A085" w14:textId="77777777" w:rsidR="00BC5654" w:rsidRPr="00CE1E23" w:rsidRDefault="00BC5654">
      <w:pPr>
        <w:pStyle w:val="BodyText"/>
        <w:spacing w:before="9"/>
        <w:rPr>
          <w:rFonts w:asciiTheme="majorHAnsi" w:hAnsiTheme="majorHAnsi"/>
          <w:sz w:val="24"/>
        </w:rPr>
      </w:pPr>
    </w:p>
    <w:p w14:paraId="7021A087" w14:textId="15A7B7FB" w:rsidR="00BC5654" w:rsidRPr="00CE1E23" w:rsidRDefault="000B0CDF" w:rsidP="003929F1">
      <w:pPr>
        <w:pStyle w:val="BodyText"/>
        <w:spacing w:before="1"/>
        <w:ind w:left="107"/>
        <w:rPr>
          <w:rFonts w:asciiTheme="majorHAnsi" w:hAnsiTheme="majorHAnsi"/>
        </w:rPr>
      </w:pPr>
      <w:r w:rsidRPr="00CE1E23">
        <w:rPr>
          <w:rFonts w:asciiTheme="majorHAnsi" w:hAnsiTheme="majorHAnsi"/>
        </w:rPr>
        <w:t>Once the account is approved, and upon receipt of a job posting, a CareerCenter Consultant:</w:t>
      </w:r>
    </w:p>
    <w:p w14:paraId="7021A088" w14:textId="77777777" w:rsidR="00BC5654" w:rsidRPr="00CE1E23" w:rsidRDefault="000B0CDF" w:rsidP="003929F1">
      <w:pPr>
        <w:pStyle w:val="ListParagraph"/>
        <w:numPr>
          <w:ilvl w:val="0"/>
          <w:numId w:val="23"/>
        </w:numPr>
        <w:tabs>
          <w:tab w:val="left" w:pos="1127"/>
          <w:tab w:val="left" w:pos="1128"/>
        </w:tabs>
        <w:rPr>
          <w:rFonts w:asciiTheme="majorHAnsi" w:hAnsiTheme="majorHAnsi"/>
          <w:sz w:val="20"/>
        </w:rPr>
      </w:pPr>
      <w:r w:rsidRPr="00CE1E23">
        <w:rPr>
          <w:rFonts w:asciiTheme="majorHAnsi" w:hAnsiTheme="majorHAnsi"/>
          <w:sz w:val="21"/>
        </w:rPr>
        <w:t>Will review the posting for clarity and</w:t>
      </w:r>
      <w:r w:rsidRPr="00CE1E23">
        <w:rPr>
          <w:rFonts w:asciiTheme="majorHAnsi" w:hAnsiTheme="majorHAnsi"/>
          <w:spacing w:val="-16"/>
          <w:sz w:val="21"/>
        </w:rPr>
        <w:t xml:space="preserve"> </w:t>
      </w:r>
      <w:r w:rsidRPr="00CE1E23">
        <w:rPr>
          <w:rFonts w:asciiTheme="majorHAnsi" w:hAnsiTheme="majorHAnsi"/>
          <w:sz w:val="21"/>
        </w:rPr>
        <w:t>completeness,</w:t>
      </w:r>
    </w:p>
    <w:p w14:paraId="7021A089" w14:textId="77777777" w:rsidR="00BC5654" w:rsidRPr="00CE1E23" w:rsidRDefault="000B0CDF" w:rsidP="003929F1">
      <w:pPr>
        <w:pStyle w:val="ListParagraph"/>
        <w:numPr>
          <w:ilvl w:val="0"/>
          <w:numId w:val="23"/>
        </w:numPr>
        <w:tabs>
          <w:tab w:val="left" w:pos="1127"/>
          <w:tab w:val="left" w:pos="1128"/>
        </w:tabs>
        <w:spacing w:before="1" w:line="247" w:lineRule="exact"/>
        <w:rPr>
          <w:rFonts w:asciiTheme="majorHAnsi" w:hAnsiTheme="majorHAnsi"/>
          <w:sz w:val="20"/>
        </w:rPr>
      </w:pPr>
      <w:r w:rsidRPr="00CE1E23">
        <w:rPr>
          <w:rFonts w:asciiTheme="majorHAnsi" w:hAnsiTheme="majorHAnsi"/>
          <w:sz w:val="21"/>
        </w:rPr>
        <w:t>May make minor technical adjustments or edits needed for the job order to display</w:t>
      </w:r>
      <w:r w:rsidRPr="00CE1E23">
        <w:rPr>
          <w:rFonts w:asciiTheme="majorHAnsi" w:hAnsiTheme="majorHAnsi"/>
          <w:spacing w:val="-27"/>
          <w:sz w:val="21"/>
        </w:rPr>
        <w:t xml:space="preserve"> </w:t>
      </w:r>
      <w:r w:rsidRPr="00CE1E23">
        <w:rPr>
          <w:rFonts w:asciiTheme="majorHAnsi" w:hAnsiTheme="majorHAnsi"/>
          <w:sz w:val="21"/>
        </w:rPr>
        <w:t>properly,</w:t>
      </w:r>
    </w:p>
    <w:p w14:paraId="7021A08A" w14:textId="77777777" w:rsidR="00BC5654" w:rsidRPr="00CE1E23" w:rsidRDefault="000B0CDF" w:rsidP="003929F1">
      <w:pPr>
        <w:pStyle w:val="ListParagraph"/>
        <w:numPr>
          <w:ilvl w:val="0"/>
          <w:numId w:val="23"/>
        </w:numPr>
        <w:tabs>
          <w:tab w:val="left" w:pos="1128"/>
        </w:tabs>
        <w:ind w:right="250"/>
        <w:jc w:val="both"/>
        <w:rPr>
          <w:rFonts w:asciiTheme="majorHAnsi" w:hAnsiTheme="majorHAnsi"/>
          <w:sz w:val="20"/>
        </w:rPr>
      </w:pPr>
      <w:r w:rsidRPr="00CE1E23">
        <w:rPr>
          <w:rFonts w:asciiTheme="majorHAnsi" w:hAnsiTheme="majorHAnsi"/>
          <w:sz w:val="21"/>
        </w:rPr>
        <w:t>Will contact the employer to review the recruitment plan and/or to review changes for the job order to conform to Federal/State laws and regulations and the MEC/MJL job posting policy (if needed),</w:t>
      </w:r>
    </w:p>
    <w:p w14:paraId="7021A08B" w14:textId="5B45A261" w:rsidR="00BC5654" w:rsidRPr="00CE1E23" w:rsidRDefault="000B0CDF" w:rsidP="003929F1">
      <w:pPr>
        <w:pStyle w:val="ListParagraph"/>
        <w:numPr>
          <w:ilvl w:val="0"/>
          <w:numId w:val="23"/>
        </w:numPr>
        <w:tabs>
          <w:tab w:val="left" w:pos="1127"/>
          <w:tab w:val="left" w:pos="1128"/>
        </w:tabs>
        <w:ind w:right="208"/>
        <w:rPr>
          <w:rFonts w:asciiTheme="majorHAnsi" w:hAnsiTheme="majorHAnsi"/>
          <w:sz w:val="20"/>
        </w:rPr>
      </w:pPr>
      <w:r w:rsidRPr="00CE1E23">
        <w:rPr>
          <w:rFonts w:asciiTheme="majorHAnsi" w:hAnsiTheme="majorHAnsi"/>
          <w:sz w:val="21"/>
        </w:rPr>
        <w:t xml:space="preserve">Will match the job order against qualified veterans in the MJL active job seeker database and notify </w:t>
      </w:r>
      <w:r w:rsidR="00351821" w:rsidRPr="00CE1E23">
        <w:rPr>
          <w:rFonts w:asciiTheme="majorHAnsi" w:hAnsiTheme="majorHAnsi"/>
          <w:sz w:val="21"/>
        </w:rPr>
        <w:t>v</w:t>
      </w:r>
      <w:r w:rsidRPr="00CE1E23">
        <w:rPr>
          <w:rFonts w:asciiTheme="majorHAnsi" w:hAnsiTheme="majorHAnsi"/>
          <w:sz w:val="21"/>
        </w:rPr>
        <w:t xml:space="preserve">eterans about the opportunity, as required by the Wagner-Peyser Act </w:t>
      </w:r>
      <w:r w:rsidRPr="00CE1E23">
        <w:rPr>
          <w:rFonts w:asciiTheme="majorHAnsi" w:hAnsiTheme="majorHAnsi"/>
          <w:i/>
          <w:sz w:val="21"/>
        </w:rPr>
        <w:t>Veteran’s Priority of Service</w:t>
      </w:r>
      <w:r w:rsidRPr="00CE1E23">
        <w:rPr>
          <w:rFonts w:asciiTheme="majorHAnsi" w:hAnsiTheme="majorHAnsi"/>
          <w:i/>
          <w:spacing w:val="-10"/>
          <w:sz w:val="21"/>
        </w:rPr>
        <w:t xml:space="preserve"> </w:t>
      </w:r>
      <w:r w:rsidRPr="00CE1E23">
        <w:rPr>
          <w:rFonts w:asciiTheme="majorHAnsi" w:hAnsiTheme="majorHAnsi"/>
          <w:sz w:val="21"/>
        </w:rPr>
        <w:t>provisions.</w:t>
      </w:r>
    </w:p>
    <w:p w14:paraId="7021A08C" w14:textId="74B03D4C" w:rsidR="00BC5654" w:rsidRPr="00CE1E23" w:rsidRDefault="000B0CDF" w:rsidP="003929F1">
      <w:pPr>
        <w:pStyle w:val="ListParagraph"/>
        <w:numPr>
          <w:ilvl w:val="0"/>
          <w:numId w:val="23"/>
        </w:numPr>
        <w:tabs>
          <w:tab w:val="left" w:pos="1127"/>
          <w:tab w:val="left" w:pos="1128"/>
        </w:tabs>
        <w:ind w:right="98"/>
        <w:rPr>
          <w:rFonts w:asciiTheme="majorHAnsi" w:hAnsiTheme="majorHAnsi"/>
          <w:sz w:val="20"/>
        </w:rPr>
      </w:pPr>
      <w:r w:rsidRPr="00CE1E23">
        <w:rPr>
          <w:rFonts w:asciiTheme="majorHAnsi" w:hAnsiTheme="majorHAnsi"/>
          <w:sz w:val="21"/>
        </w:rPr>
        <w:t>Will match the job order against qualified general</w:t>
      </w:r>
      <w:r w:rsidR="00351821" w:rsidRPr="00CE1E23">
        <w:rPr>
          <w:rFonts w:asciiTheme="majorHAnsi" w:hAnsiTheme="majorHAnsi"/>
          <w:sz w:val="21"/>
        </w:rPr>
        <w:t>-</w:t>
      </w:r>
      <w:r w:rsidRPr="00CE1E23">
        <w:rPr>
          <w:rFonts w:asciiTheme="majorHAnsi" w:hAnsiTheme="majorHAnsi"/>
          <w:sz w:val="21"/>
        </w:rPr>
        <w:t>public individuals in the MJL active job seeker database and notify them about the</w:t>
      </w:r>
      <w:r w:rsidRPr="00CE1E23">
        <w:rPr>
          <w:rFonts w:asciiTheme="majorHAnsi" w:hAnsiTheme="majorHAnsi"/>
          <w:spacing w:val="-15"/>
          <w:sz w:val="21"/>
        </w:rPr>
        <w:t xml:space="preserve"> </w:t>
      </w:r>
      <w:r w:rsidRPr="00CE1E23">
        <w:rPr>
          <w:rFonts w:asciiTheme="majorHAnsi" w:hAnsiTheme="majorHAnsi"/>
          <w:sz w:val="21"/>
        </w:rPr>
        <w:t>opportunity,</w:t>
      </w:r>
    </w:p>
    <w:p w14:paraId="7021A08D" w14:textId="77777777" w:rsidR="00BC5654" w:rsidRPr="00CE1E23" w:rsidRDefault="000B0CDF" w:rsidP="003929F1">
      <w:pPr>
        <w:pStyle w:val="ListParagraph"/>
        <w:numPr>
          <w:ilvl w:val="0"/>
          <w:numId w:val="23"/>
        </w:numPr>
        <w:tabs>
          <w:tab w:val="left" w:pos="1127"/>
          <w:tab w:val="left" w:pos="1128"/>
        </w:tabs>
        <w:spacing w:line="247" w:lineRule="exact"/>
        <w:rPr>
          <w:rFonts w:asciiTheme="majorHAnsi" w:hAnsiTheme="majorHAnsi"/>
          <w:sz w:val="20"/>
        </w:rPr>
      </w:pPr>
      <w:r w:rsidRPr="00CE1E23">
        <w:rPr>
          <w:rFonts w:asciiTheme="majorHAnsi" w:hAnsiTheme="majorHAnsi"/>
          <w:sz w:val="21"/>
        </w:rPr>
        <w:t>Will refer qualified candidates per the employer’s instructions in the job</w:t>
      </w:r>
      <w:r w:rsidRPr="00CE1E23">
        <w:rPr>
          <w:rFonts w:asciiTheme="majorHAnsi" w:hAnsiTheme="majorHAnsi"/>
          <w:spacing w:val="-25"/>
          <w:sz w:val="21"/>
        </w:rPr>
        <w:t xml:space="preserve"> </w:t>
      </w:r>
      <w:r w:rsidRPr="00CE1E23">
        <w:rPr>
          <w:rFonts w:asciiTheme="majorHAnsi" w:hAnsiTheme="majorHAnsi"/>
          <w:sz w:val="21"/>
        </w:rPr>
        <w:t>order.</w:t>
      </w:r>
    </w:p>
    <w:p w14:paraId="7021A08E" w14:textId="77777777" w:rsidR="00BC5654" w:rsidRPr="00094B51" w:rsidRDefault="00BC5654">
      <w:pPr>
        <w:pStyle w:val="BodyText"/>
        <w:spacing w:before="2"/>
        <w:rPr>
          <w:rFonts w:asciiTheme="majorHAnsi" w:hAnsiTheme="majorHAnsi"/>
          <w:sz w:val="18"/>
          <w:szCs w:val="18"/>
        </w:rPr>
      </w:pPr>
    </w:p>
    <w:p w14:paraId="7021A090" w14:textId="3191E853" w:rsidR="00BC5654" w:rsidRPr="00D71CFB" w:rsidRDefault="000B0CDF" w:rsidP="00D71CFB">
      <w:pPr>
        <w:pStyle w:val="Heading2"/>
        <w:rPr>
          <w:rFonts w:asciiTheme="majorHAnsi" w:hAnsiTheme="majorHAnsi"/>
          <w:u w:val="none"/>
        </w:rPr>
      </w:pPr>
      <w:r w:rsidRPr="00CE1E23">
        <w:rPr>
          <w:rFonts w:asciiTheme="majorHAnsi" w:hAnsiTheme="majorHAnsi"/>
          <w:u w:val="thick"/>
        </w:rPr>
        <w:t xml:space="preserve">Salary Information </w:t>
      </w:r>
      <w:r w:rsidR="00B36695" w:rsidRPr="00CE1E23">
        <w:rPr>
          <w:rFonts w:asciiTheme="majorHAnsi" w:hAnsiTheme="majorHAnsi"/>
          <w:u w:val="thick"/>
        </w:rPr>
        <w:t>i</w:t>
      </w:r>
      <w:r w:rsidRPr="00CE1E23">
        <w:rPr>
          <w:rFonts w:asciiTheme="majorHAnsi" w:hAnsiTheme="majorHAnsi"/>
          <w:u w:val="thick"/>
        </w:rPr>
        <w:t xml:space="preserve">n </w:t>
      </w:r>
      <w:r w:rsidR="00B36695" w:rsidRPr="00CE1E23">
        <w:rPr>
          <w:rFonts w:asciiTheme="majorHAnsi" w:hAnsiTheme="majorHAnsi"/>
          <w:u w:val="thick"/>
        </w:rPr>
        <w:t>t</w:t>
      </w:r>
      <w:r w:rsidRPr="00CE1E23">
        <w:rPr>
          <w:rFonts w:asciiTheme="majorHAnsi" w:hAnsiTheme="majorHAnsi"/>
          <w:u w:val="thick"/>
        </w:rPr>
        <w:t>he Job Order</w:t>
      </w:r>
    </w:p>
    <w:p w14:paraId="7F3D1A21" w14:textId="4D9B5F94" w:rsidR="00C5402F" w:rsidRDefault="000B0CDF" w:rsidP="006E5099">
      <w:pPr>
        <w:pStyle w:val="BodyText"/>
        <w:spacing w:before="101"/>
        <w:ind w:left="107" w:right="185"/>
        <w:rPr>
          <w:rFonts w:asciiTheme="majorHAnsi" w:hAnsiTheme="majorHAnsi"/>
        </w:rPr>
      </w:pPr>
      <w:r w:rsidRPr="00CE1E23">
        <w:rPr>
          <w:rFonts w:asciiTheme="majorHAnsi" w:hAnsiTheme="majorHAnsi"/>
        </w:rPr>
        <w:t xml:space="preserve">Employers are encouraged to </w:t>
      </w:r>
      <w:r w:rsidR="00DA4B31">
        <w:rPr>
          <w:rFonts w:asciiTheme="majorHAnsi" w:hAnsiTheme="majorHAnsi"/>
        </w:rPr>
        <w:t>display</w:t>
      </w:r>
      <w:r w:rsidRPr="00CE1E23">
        <w:rPr>
          <w:rFonts w:asciiTheme="majorHAnsi" w:hAnsiTheme="majorHAnsi"/>
        </w:rPr>
        <w:t xml:space="preserve"> minimum and maximum salary data in the job posting. Including this data improves the precision of the match process, helps attract potential applicants, and aids staff in making appropriate referrals. The narrative field can be used for further explanations. Employers concerned about providing a figure for the maximum salary are encouraged to at least list the minimum in both spaces ($15,600 to $15,600). If the employer </w:t>
      </w:r>
      <w:r w:rsidR="00351821" w:rsidRPr="00CE1E23">
        <w:rPr>
          <w:rFonts w:asciiTheme="majorHAnsi" w:hAnsiTheme="majorHAnsi"/>
        </w:rPr>
        <w:t>chooses not to provide wage information</w:t>
      </w:r>
      <w:r w:rsidRPr="00CE1E23">
        <w:rPr>
          <w:rFonts w:asciiTheme="majorHAnsi" w:hAnsiTheme="majorHAnsi"/>
        </w:rPr>
        <w:t>, the employer is acknowledging that the quality of the matches and referrals may be inferior to the matches and referrals that could be made if the data were available.</w:t>
      </w:r>
    </w:p>
    <w:p w14:paraId="5CAE94A5" w14:textId="77777777" w:rsidR="006E5099" w:rsidRPr="006E5099" w:rsidRDefault="006E5099" w:rsidP="006E5099">
      <w:pPr>
        <w:pStyle w:val="BodyText"/>
        <w:spacing w:before="101"/>
        <w:ind w:left="107" w:right="185"/>
        <w:rPr>
          <w:rFonts w:asciiTheme="majorHAnsi" w:hAnsiTheme="majorHAnsi"/>
          <w:sz w:val="18"/>
          <w:szCs w:val="18"/>
        </w:rPr>
      </w:pPr>
    </w:p>
    <w:p w14:paraId="7021A094" w14:textId="54F04603" w:rsidR="00BC5654" w:rsidRPr="00C2206A" w:rsidRDefault="000B0CDF" w:rsidP="00C2206A">
      <w:pPr>
        <w:pStyle w:val="Heading2"/>
        <w:rPr>
          <w:rFonts w:asciiTheme="majorHAnsi" w:hAnsiTheme="majorHAnsi"/>
          <w:u w:val="none"/>
        </w:rPr>
      </w:pPr>
      <w:r w:rsidRPr="00CE1E23">
        <w:rPr>
          <w:rFonts w:asciiTheme="majorHAnsi" w:hAnsiTheme="majorHAnsi"/>
          <w:u w:val="thick"/>
        </w:rPr>
        <w:t xml:space="preserve">When </w:t>
      </w:r>
      <w:r w:rsidR="00B36695" w:rsidRPr="00CE1E23">
        <w:rPr>
          <w:rFonts w:asciiTheme="majorHAnsi" w:hAnsiTheme="majorHAnsi"/>
          <w:u w:val="thick"/>
        </w:rPr>
        <w:t>t</w:t>
      </w:r>
      <w:r w:rsidRPr="00CE1E23">
        <w:rPr>
          <w:rFonts w:asciiTheme="majorHAnsi" w:hAnsiTheme="majorHAnsi"/>
          <w:u w:val="thick"/>
        </w:rPr>
        <w:t>he Job Order Is Visible</w:t>
      </w:r>
    </w:p>
    <w:p w14:paraId="7021A096" w14:textId="195826CB" w:rsidR="00BC5654" w:rsidRPr="00CE1E23" w:rsidRDefault="000B0CDF" w:rsidP="00351821">
      <w:pPr>
        <w:pStyle w:val="BodyText"/>
        <w:spacing w:before="102"/>
        <w:ind w:left="107"/>
        <w:rPr>
          <w:rFonts w:asciiTheme="majorHAnsi" w:hAnsiTheme="majorHAnsi"/>
        </w:rPr>
      </w:pPr>
      <w:r w:rsidRPr="00CE1E23">
        <w:rPr>
          <w:rFonts w:asciiTheme="majorHAnsi" w:hAnsiTheme="majorHAnsi"/>
        </w:rPr>
        <w:t>For employer accounts that have been approved, job orders display to</w:t>
      </w:r>
    </w:p>
    <w:p w14:paraId="7021A097" w14:textId="77777777" w:rsidR="00BC5654" w:rsidRPr="00CE1E23" w:rsidRDefault="000B0CDF" w:rsidP="00351821">
      <w:pPr>
        <w:pStyle w:val="ListParagraph"/>
        <w:numPr>
          <w:ilvl w:val="0"/>
          <w:numId w:val="24"/>
        </w:numPr>
        <w:rPr>
          <w:rFonts w:asciiTheme="majorHAnsi" w:hAnsiTheme="majorHAnsi"/>
          <w:sz w:val="21"/>
          <w:szCs w:val="21"/>
        </w:rPr>
      </w:pPr>
      <w:r w:rsidRPr="00CE1E23">
        <w:rPr>
          <w:rFonts w:asciiTheme="majorHAnsi" w:hAnsiTheme="majorHAnsi"/>
          <w:sz w:val="21"/>
          <w:szCs w:val="21"/>
        </w:rPr>
        <w:t>Veterans as soon as the job order is submitted, and</w:t>
      </w:r>
    </w:p>
    <w:p w14:paraId="7021A099" w14:textId="410EE3E2" w:rsidR="00BC5654" w:rsidRPr="00E22182" w:rsidRDefault="000B0CDF" w:rsidP="00E22182">
      <w:pPr>
        <w:pStyle w:val="ListParagraph"/>
        <w:numPr>
          <w:ilvl w:val="0"/>
          <w:numId w:val="24"/>
        </w:numPr>
        <w:rPr>
          <w:rFonts w:asciiTheme="majorHAnsi" w:hAnsiTheme="majorHAnsi"/>
          <w:sz w:val="21"/>
          <w:szCs w:val="21"/>
        </w:rPr>
        <w:sectPr w:rsidR="00BC5654" w:rsidRPr="00E22182">
          <w:pgSz w:w="12240" w:h="15840"/>
          <w:pgMar w:top="920" w:right="960" w:bottom="280" w:left="900" w:header="720" w:footer="720" w:gutter="0"/>
          <w:cols w:space="720"/>
        </w:sectPr>
      </w:pPr>
      <w:r w:rsidRPr="00CE1E23">
        <w:rPr>
          <w:rFonts w:asciiTheme="majorHAnsi" w:hAnsiTheme="majorHAnsi"/>
          <w:sz w:val="21"/>
          <w:szCs w:val="21"/>
        </w:rPr>
        <w:t>The general</w:t>
      </w:r>
      <w:r w:rsidR="00351821" w:rsidRPr="00CE1E23">
        <w:rPr>
          <w:rFonts w:asciiTheme="majorHAnsi" w:hAnsiTheme="majorHAnsi"/>
          <w:sz w:val="21"/>
          <w:szCs w:val="21"/>
        </w:rPr>
        <w:t>-</w:t>
      </w:r>
      <w:r w:rsidRPr="00CE1E23">
        <w:rPr>
          <w:rFonts w:asciiTheme="majorHAnsi" w:hAnsiTheme="majorHAnsi"/>
          <w:sz w:val="21"/>
          <w:szCs w:val="21"/>
        </w:rPr>
        <w:t xml:space="preserve">public after the system has notified the </w:t>
      </w:r>
      <w:r w:rsidR="00351821" w:rsidRPr="00CE1E23">
        <w:rPr>
          <w:rFonts w:asciiTheme="majorHAnsi" w:hAnsiTheme="majorHAnsi"/>
          <w:sz w:val="21"/>
          <w:szCs w:val="21"/>
        </w:rPr>
        <w:t>v</w:t>
      </w:r>
      <w:r w:rsidRPr="00CE1E23">
        <w:rPr>
          <w:rFonts w:asciiTheme="majorHAnsi" w:hAnsiTheme="majorHAnsi"/>
          <w:sz w:val="21"/>
          <w:szCs w:val="21"/>
        </w:rPr>
        <w:t>eteran’s through the matching and notification process. Generally</w:t>
      </w:r>
      <w:r w:rsidR="00351821" w:rsidRPr="00CE1E23">
        <w:rPr>
          <w:rFonts w:asciiTheme="majorHAnsi" w:hAnsiTheme="majorHAnsi"/>
          <w:sz w:val="21"/>
          <w:szCs w:val="21"/>
        </w:rPr>
        <w:t>,</w:t>
      </w:r>
      <w:r w:rsidRPr="00CE1E23">
        <w:rPr>
          <w:rFonts w:asciiTheme="majorHAnsi" w:hAnsiTheme="majorHAnsi"/>
          <w:sz w:val="21"/>
          <w:szCs w:val="21"/>
        </w:rPr>
        <w:t xml:space="preserve"> the </w:t>
      </w:r>
      <w:r w:rsidR="00351821" w:rsidRPr="00CE1E23">
        <w:rPr>
          <w:rFonts w:asciiTheme="majorHAnsi" w:hAnsiTheme="majorHAnsi"/>
          <w:sz w:val="21"/>
          <w:szCs w:val="21"/>
        </w:rPr>
        <w:t>v</w:t>
      </w:r>
      <w:r w:rsidRPr="00CE1E23">
        <w:rPr>
          <w:rFonts w:asciiTheme="majorHAnsi" w:hAnsiTheme="majorHAnsi"/>
          <w:sz w:val="21"/>
          <w:szCs w:val="21"/>
        </w:rPr>
        <w:t>eteran’s matching and notification process will be completed</w:t>
      </w:r>
      <w:r w:rsidR="00234C9B">
        <w:rPr>
          <w:rFonts w:asciiTheme="majorHAnsi" w:hAnsiTheme="majorHAnsi"/>
          <w:sz w:val="21"/>
          <w:szCs w:val="21"/>
        </w:rPr>
        <w:t xml:space="preserve"> </w:t>
      </w:r>
      <w:r w:rsidRPr="00CE1E23">
        <w:rPr>
          <w:rFonts w:asciiTheme="majorHAnsi" w:hAnsiTheme="majorHAnsi"/>
          <w:sz w:val="21"/>
          <w:szCs w:val="21"/>
        </w:rPr>
        <w:t>within 48 hours or less</w:t>
      </w:r>
    </w:p>
    <w:p w14:paraId="7021A09A" w14:textId="77777777" w:rsidR="00BC5654" w:rsidRPr="00CE1E23" w:rsidRDefault="000B0CDF" w:rsidP="00E22182">
      <w:pPr>
        <w:pStyle w:val="Heading2"/>
        <w:spacing w:before="90"/>
        <w:ind w:left="0"/>
        <w:rPr>
          <w:rFonts w:asciiTheme="majorHAnsi" w:hAnsiTheme="majorHAnsi"/>
          <w:u w:val="none"/>
        </w:rPr>
      </w:pPr>
      <w:r w:rsidRPr="00CE1E23">
        <w:rPr>
          <w:rFonts w:asciiTheme="majorHAnsi" w:hAnsiTheme="majorHAnsi"/>
          <w:u w:val="thick"/>
        </w:rPr>
        <w:lastRenderedPageBreak/>
        <w:t>How Long the Job Order Stays Visible</w:t>
      </w:r>
    </w:p>
    <w:p w14:paraId="7021A09B" w14:textId="77777777" w:rsidR="00BC5654" w:rsidRPr="00CE1E23" w:rsidRDefault="00BC5654">
      <w:pPr>
        <w:pStyle w:val="BodyText"/>
        <w:spacing w:before="11"/>
        <w:rPr>
          <w:rFonts w:asciiTheme="majorHAnsi" w:hAnsiTheme="majorHAnsi"/>
          <w:b/>
          <w:sz w:val="15"/>
        </w:rPr>
      </w:pPr>
    </w:p>
    <w:p w14:paraId="7021A09C" w14:textId="77777777" w:rsidR="00BC5654" w:rsidRPr="00CE1E23" w:rsidRDefault="000B0CDF">
      <w:pPr>
        <w:pStyle w:val="BodyText"/>
        <w:spacing w:before="101"/>
        <w:ind w:left="247" w:right="494"/>
        <w:rPr>
          <w:rFonts w:asciiTheme="majorHAnsi" w:hAnsiTheme="majorHAnsi"/>
        </w:rPr>
      </w:pPr>
      <w:r w:rsidRPr="00CE1E23">
        <w:rPr>
          <w:rFonts w:asciiTheme="majorHAnsi" w:hAnsiTheme="majorHAnsi"/>
        </w:rPr>
        <w:t>The default for displaying job orders is 30 days. Employers may adjust the dates for less than 30 days of display, if needed. Employers may display job orders from 1 to 90 days. Should the recruitment period extend beyond 90 days, employer will create a new posting, as required by the U.S. Department of Labor reporting requirements.</w:t>
      </w:r>
    </w:p>
    <w:p w14:paraId="7021A09D" w14:textId="77777777" w:rsidR="00BC5654" w:rsidRPr="00CE1E23" w:rsidRDefault="00BC5654">
      <w:pPr>
        <w:pStyle w:val="BodyText"/>
        <w:spacing w:before="9"/>
        <w:rPr>
          <w:rFonts w:asciiTheme="majorHAnsi" w:hAnsiTheme="majorHAnsi"/>
          <w:sz w:val="24"/>
        </w:rPr>
      </w:pPr>
    </w:p>
    <w:p w14:paraId="7021A09E" w14:textId="77777777" w:rsidR="00BC5654" w:rsidRPr="00CE1E23" w:rsidRDefault="000B0CDF">
      <w:pPr>
        <w:pStyle w:val="BodyText"/>
        <w:spacing w:before="1"/>
        <w:ind w:left="247" w:right="534"/>
        <w:rPr>
          <w:rFonts w:asciiTheme="majorHAnsi" w:hAnsiTheme="majorHAnsi"/>
        </w:rPr>
      </w:pPr>
      <w:r w:rsidRPr="00CE1E23">
        <w:rPr>
          <w:rFonts w:asciiTheme="majorHAnsi" w:hAnsiTheme="majorHAnsi"/>
        </w:rPr>
        <w:t xml:space="preserve">Employers who are posting jobs for Foreign Labor Certification visas are required to recruit for the specified time outlined by the U.S. Department of Labor. Program requirements, summarized below, are subject to change and exemptions may apply in certain cases. For additional information, see: </w:t>
      </w:r>
      <w:hyperlink r:id="rId5">
        <w:r w:rsidRPr="00CE1E23">
          <w:rPr>
            <w:rFonts w:asciiTheme="majorHAnsi" w:hAnsiTheme="majorHAnsi"/>
            <w:color w:val="003366"/>
            <w:u w:val="single" w:color="003366"/>
          </w:rPr>
          <w:t>http://www.foreignlaborcert.doleta.gov/</w:t>
        </w:r>
      </w:hyperlink>
    </w:p>
    <w:p w14:paraId="7021A09F" w14:textId="77777777" w:rsidR="00BC5654" w:rsidRPr="00CE1E23" w:rsidRDefault="00BC5654">
      <w:pPr>
        <w:pStyle w:val="BodyText"/>
        <w:spacing w:before="5" w:after="1"/>
        <w:rPr>
          <w:rFonts w:asciiTheme="majorHAnsi" w:hAnsiTheme="majorHAnsi"/>
          <w:sz w:val="24"/>
        </w:rPr>
      </w:pPr>
    </w:p>
    <w:tbl>
      <w:tblPr>
        <w:tblW w:w="0" w:type="auto"/>
        <w:tblInd w:w="1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0"/>
        <w:gridCol w:w="3050"/>
        <w:gridCol w:w="3722"/>
      </w:tblGrid>
      <w:tr w:rsidR="00BC5654" w:rsidRPr="00CE1E23" w14:paraId="7021A0A3" w14:textId="77777777">
        <w:trPr>
          <w:trHeight w:hRule="exact" w:val="893"/>
        </w:trPr>
        <w:tc>
          <w:tcPr>
            <w:tcW w:w="3720" w:type="dxa"/>
            <w:tcBorders>
              <w:bottom w:val="single" w:sz="24" w:space="0" w:color="EFEFEF"/>
            </w:tcBorders>
            <w:shd w:val="clear" w:color="auto" w:fill="767676"/>
          </w:tcPr>
          <w:p w14:paraId="7021A0A0" w14:textId="77777777" w:rsidR="00BC5654" w:rsidRPr="00CE1E23" w:rsidRDefault="000B0CDF">
            <w:pPr>
              <w:pStyle w:val="TableParagraph"/>
              <w:ind w:left="837" w:right="956" w:hanging="89"/>
              <w:rPr>
                <w:rFonts w:asciiTheme="majorHAnsi" w:hAnsiTheme="majorHAnsi"/>
                <w:b/>
                <w:sz w:val="21"/>
              </w:rPr>
            </w:pPr>
            <w:r w:rsidRPr="00CE1E23">
              <w:rPr>
                <w:rFonts w:asciiTheme="majorHAnsi" w:hAnsiTheme="majorHAnsi"/>
                <w:b/>
                <w:color w:val="FFFFFF"/>
                <w:sz w:val="21"/>
              </w:rPr>
              <w:t>Permanent and H1B Specialty Workers</w:t>
            </w:r>
          </w:p>
        </w:tc>
        <w:tc>
          <w:tcPr>
            <w:tcW w:w="3050" w:type="dxa"/>
            <w:tcBorders>
              <w:bottom w:val="single" w:sz="24" w:space="0" w:color="EFEFEF"/>
            </w:tcBorders>
            <w:shd w:val="clear" w:color="auto" w:fill="767676"/>
          </w:tcPr>
          <w:p w14:paraId="7021A0A1" w14:textId="77777777" w:rsidR="00BC5654" w:rsidRPr="00CE1E23" w:rsidRDefault="000B0CDF">
            <w:pPr>
              <w:pStyle w:val="TableParagraph"/>
              <w:ind w:left="700" w:right="318" w:hanging="368"/>
              <w:rPr>
                <w:rFonts w:asciiTheme="majorHAnsi" w:hAnsiTheme="majorHAnsi"/>
                <w:b/>
                <w:sz w:val="21"/>
              </w:rPr>
            </w:pPr>
            <w:r w:rsidRPr="00CE1E23">
              <w:rPr>
                <w:rFonts w:asciiTheme="majorHAnsi" w:hAnsiTheme="majorHAnsi"/>
                <w:b/>
                <w:color w:val="FFFFFF"/>
                <w:sz w:val="21"/>
              </w:rPr>
              <w:t>H-2A Agricultural Guest Worker Program</w:t>
            </w:r>
          </w:p>
        </w:tc>
        <w:tc>
          <w:tcPr>
            <w:tcW w:w="3722" w:type="dxa"/>
            <w:tcBorders>
              <w:bottom w:val="single" w:sz="24" w:space="0" w:color="EFEFEF"/>
            </w:tcBorders>
            <w:shd w:val="clear" w:color="auto" w:fill="767676"/>
          </w:tcPr>
          <w:p w14:paraId="7021A0A2" w14:textId="77777777" w:rsidR="00BC5654" w:rsidRPr="00CE1E23" w:rsidRDefault="000B0CDF">
            <w:pPr>
              <w:pStyle w:val="TableParagraph"/>
              <w:ind w:left="822" w:right="581" w:firstLine="64"/>
              <w:rPr>
                <w:rFonts w:asciiTheme="majorHAnsi" w:hAnsiTheme="majorHAnsi"/>
                <w:b/>
                <w:sz w:val="21"/>
              </w:rPr>
            </w:pPr>
            <w:r w:rsidRPr="00CE1E23">
              <w:rPr>
                <w:rFonts w:asciiTheme="majorHAnsi" w:hAnsiTheme="majorHAnsi"/>
                <w:b/>
                <w:color w:val="FFFFFF"/>
                <w:sz w:val="21"/>
              </w:rPr>
              <w:t>H-2B Non-agricultural Guest Worker Program</w:t>
            </w:r>
          </w:p>
        </w:tc>
      </w:tr>
      <w:tr w:rsidR="00BC5654" w:rsidRPr="00CE1E23" w14:paraId="7021A0A7" w14:textId="77777777">
        <w:trPr>
          <w:trHeight w:hRule="exact" w:val="890"/>
        </w:trPr>
        <w:tc>
          <w:tcPr>
            <w:tcW w:w="3720" w:type="dxa"/>
            <w:shd w:val="clear" w:color="auto" w:fill="EFEFEF"/>
          </w:tcPr>
          <w:p w14:paraId="7021A0A4" w14:textId="77777777" w:rsidR="00BC5654" w:rsidRPr="00CE1E23" w:rsidRDefault="000B0CDF">
            <w:pPr>
              <w:pStyle w:val="TableParagraph"/>
              <w:rPr>
                <w:rFonts w:asciiTheme="majorHAnsi" w:hAnsiTheme="majorHAnsi"/>
                <w:sz w:val="21"/>
              </w:rPr>
            </w:pPr>
            <w:r w:rsidRPr="00CE1E23">
              <w:rPr>
                <w:rFonts w:asciiTheme="majorHAnsi" w:hAnsiTheme="majorHAnsi"/>
                <w:sz w:val="21"/>
              </w:rPr>
              <w:t>Post/recruit for 30 consecutive days</w:t>
            </w:r>
          </w:p>
        </w:tc>
        <w:tc>
          <w:tcPr>
            <w:tcW w:w="3050" w:type="dxa"/>
            <w:shd w:val="clear" w:color="auto" w:fill="EFEFEF"/>
          </w:tcPr>
          <w:p w14:paraId="7021A0A5" w14:textId="77777777" w:rsidR="00BC5654" w:rsidRPr="00CE1E23" w:rsidRDefault="000B0CDF">
            <w:pPr>
              <w:pStyle w:val="TableParagraph"/>
              <w:spacing w:before="57"/>
              <w:ind w:left="830" w:right="293" w:hanging="521"/>
              <w:rPr>
                <w:rFonts w:asciiTheme="majorHAnsi" w:hAnsiTheme="majorHAnsi"/>
                <w:sz w:val="21"/>
              </w:rPr>
            </w:pPr>
            <w:r w:rsidRPr="00CE1E23">
              <w:rPr>
                <w:rFonts w:asciiTheme="majorHAnsi" w:hAnsiTheme="majorHAnsi"/>
                <w:sz w:val="21"/>
              </w:rPr>
              <w:t>Post/recruit for 50% of the contract period</w:t>
            </w:r>
          </w:p>
        </w:tc>
        <w:tc>
          <w:tcPr>
            <w:tcW w:w="3722" w:type="dxa"/>
            <w:shd w:val="clear" w:color="auto" w:fill="EFEFEF"/>
          </w:tcPr>
          <w:p w14:paraId="7021A0A6" w14:textId="77777777" w:rsidR="00BC5654" w:rsidRPr="00CE1E23" w:rsidRDefault="000B0CDF">
            <w:pPr>
              <w:pStyle w:val="TableParagraph"/>
              <w:ind w:left="309"/>
              <w:rPr>
                <w:rFonts w:asciiTheme="majorHAnsi" w:hAnsiTheme="majorHAnsi"/>
                <w:sz w:val="21"/>
              </w:rPr>
            </w:pPr>
            <w:r w:rsidRPr="00CE1E23">
              <w:rPr>
                <w:rFonts w:asciiTheme="majorHAnsi" w:hAnsiTheme="majorHAnsi"/>
                <w:sz w:val="21"/>
              </w:rPr>
              <w:t>Post/recruit for 10 consecutive days</w:t>
            </w:r>
          </w:p>
        </w:tc>
      </w:tr>
    </w:tbl>
    <w:p w14:paraId="7021A0A8" w14:textId="77777777" w:rsidR="00BC5654" w:rsidRPr="00CE1E23" w:rsidRDefault="00BC5654">
      <w:pPr>
        <w:pStyle w:val="BodyText"/>
        <w:rPr>
          <w:rFonts w:asciiTheme="majorHAnsi" w:hAnsiTheme="majorHAnsi"/>
          <w:sz w:val="24"/>
        </w:rPr>
      </w:pPr>
    </w:p>
    <w:p w14:paraId="7021A0A9" w14:textId="77777777" w:rsidR="00BC5654" w:rsidRPr="00CE1E23" w:rsidRDefault="00BC5654">
      <w:pPr>
        <w:pStyle w:val="BodyText"/>
        <w:spacing w:before="9"/>
        <w:rPr>
          <w:rFonts w:asciiTheme="majorHAnsi" w:hAnsiTheme="majorHAnsi"/>
        </w:rPr>
      </w:pPr>
    </w:p>
    <w:p w14:paraId="7021A0AA" w14:textId="77777777" w:rsidR="00BC5654" w:rsidRPr="00CE1E23" w:rsidRDefault="000B0CDF">
      <w:pPr>
        <w:pStyle w:val="Heading2"/>
        <w:spacing w:before="1"/>
        <w:ind w:left="247"/>
        <w:rPr>
          <w:rFonts w:asciiTheme="majorHAnsi" w:hAnsiTheme="majorHAnsi"/>
          <w:u w:val="none"/>
        </w:rPr>
      </w:pPr>
      <w:r w:rsidRPr="00CE1E23">
        <w:rPr>
          <w:rFonts w:asciiTheme="majorHAnsi" w:hAnsiTheme="majorHAnsi"/>
          <w:u w:val="thick"/>
        </w:rPr>
        <w:t>Refusing or Removing a Job Posting</w:t>
      </w:r>
    </w:p>
    <w:p w14:paraId="7021A0AB" w14:textId="77777777" w:rsidR="00BC5654" w:rsidRPr="00CE1E23" w:rsidRDefault="00BC5654">
      <w:pPr>
        <w:pStyle w:val="BodyText"/>
        <w:spacing w:before="2"/>
        <w:rPr>
          <w:rFonts w:asciiTheme="majorHAnsi" w:hAnsiTheme="majorHAnsi"/>
          <w:b/>
          <w:sz w:val="16"/>
        </w:rPr>
      </w:pPr>
    </w:p>
    <w:p w14:paraId="7021A0AC" w14:textId="77777777" w:rsidR="00BC5654" w:rsidRPr="00CE1E23" w:rsidRDefault="000B0CDF">
      <w:pPr>
        <w:pStyle w:val="BodyText"/>
        <w:spacing w:before="101"/>
        <w:ind w:left="247" w:right="247"/>
        <w:rPr>
          <w:rFonts w:asciiTheme="majorHAnsi" w:hAnsiTheme="majorHAnsi"/>
        </w:rPr>
      </w:pPr>
      <w:r w:rsidRPr="00CE1E23">
        <w:rPr>
          <w:rFonts w:asciiTheme="majorHAnsi" w:hAnsiTheme="majorHAnsi"/>
        </w:rPr>
        <w:t>The Maine JobLink reserves the right to refuse or remove job postings that are in conflict with this policy or Federal or State laws and regulations.</w:t>
      </w:r>
    </w:p>
    <w:p w14:paraId="7021A0AD" w14:textId="77777777" w:rsidR="00BC5654" w:rsidRPr="00CE1E23" w:rsidRDefault="00BC5654">
      <w:pPr>
        <w:pStyle w:val="BodyText"/>
        <w:spacing w:before="7"/>
        <w:rPr>
          <w:rFonts w:asciiTheme="majorHAnsi" w:hAnsiTheme="majorHAnsi"/>
          <w:sz w:val="24"/>
        </w:rPr>
      </w:pPr>
    </w:p>
    <w:p w14:paraId="7021A0AE" w14:textId="77777777" w:rsidR="00BC5654" w:rsidRPr="00CE1E23" w:rsidRDefault="000B0CDF">
      <w:pPr>
        <w:pStyle w:val="Heading2"/>
        <w:ind w:left="247"/>
        <w:rPr>
          <w:rFonts w:asciiTheme="majorHAnsi" w:hAnsiTheme="majorHAnsi"/>
          <w:u w:val="none"/>
        </w:rPr>
      </w:pPr>
      <w:r w:rsidRPr="00CE1E23">
        <w:rPr>
          <w:rFonts w:asciiTheme="majorHAnsi" w:hAnsiTheme="majorHAnsi"/>
          <w:u w:val="thick"/>
        </w:rPr>
        <w:t>Discriminatory Language, Discriminatory Practices</w:t>
      </w:r>
    </w:p>
    <w:p w14:paraId="7021A0AF" w14:textId="77777777" w:rsidR="00BC5654" w:rsidRPr="00CE1E23" w:rsidRDefault="00BC5654">
      <w:pPr>
        <w:pStyle w:val="BodyText"/>
        <w:spacing w:before="11"/>
        <w:rPr>
          <w:rFonts w:asciiTheme="majorHAnsi" w:hAnsiTheme="majorHAnsi"/>
          <w:b/>
        </w:rPr>
      </w:pPr>
    </w:p>
    <w:p w14:paraId="7021A0B0" w14:textId="77777777" w:rsidR="00BC5654" w:rsidRPr="00CE1E23" w:rsidRDefault="000B0CDF">
      <w:pPr>
        <w:spacing w:before="89"/>
        <w:ind w:left="247" w:right="596"/>
        <w:rPr>
          <w:rFonts w:asciiTheme="majorHAnsi" w:hAnsiTheme="majorHAnsi"/>
          <w:sz w:val="21"/>
          <w:szCs w:val="21"/>
        </w:rPr>
      </w:pPr>
      <w:r w:rsidRPr="00CE1E23">
        <w:rPr>
          <w:rFonts w:asciiTheme="majorHAnsi" w:hAnsiTheme="majorHAnsi"/>
          <w:sz w:val="21"/>
          <w:szCs w:val="21"/>
        </w:rPr>
        <w:t>The Maine JobLink does not accept job postings with discriminatory language and does not participate in referral practices that violate Federal and State non-discrimination statutes. [42 U.S.C. 2000(e)-2(e) and 29CFR Parts 1604,160-6 and 1625]</w:t>
      </w:r>
    </w:p>
    <w:p w14:paraId="7021A0B1" w14:textId="77777777" w:rsidR="00BC5654" w:rsidRPr="00CE1E23" w:rsidRDefault="00BC5654">
      <w:pPr>
        <w:pStyle w:val="BodyText"/>
        <w:spacing w:before="7"/>
        <w:rPr>
          <w:rFonts w:asciiTheme="majorHAnsi" w:hAnsiTheme="majorHAnsi"/>
          <w:sz w:val="23"/>
        </w:rPr>
      </w:pPr>
    </w:p>
    <w:p w14:paraId="7021A0B2" w14:textId="77777777" w:rsidR="00BC5654" w:rsidRPr="00CE1E23" w:rsidRDefault="000B0CDF">
      <w:pPr>
        <w:ind w:left="247"/>
        <w:rPr>
          <w:rFonts w:asciiTheme="majorHAnsi" w:hAnsiTheme="majorHAnsi"/>
          <w:b/>
          <w:sz w:val="21"/>
          <w:szCs w:val="21"/>
        </w:rPr>
      </w:pPr>
      <w:r w:rsidRPr="00CE1E23">
        <w:rPr>
          <w:rFonts w:asciiTheme="majorHAnsi" w:hAnsiTheme="majorHAnsi"/>
          <w:b/>
          <w:sz w:val="21"/>
          <w:szCs w:val="21"/>
          <w:u w:val="single"/>
        </w:rPr>
        <w:t>Pre-Designation</w:t>
      </w:r>
    </w:p>
    <w:p w14:paraId="7021A0B3" w14:textId="77777777" w:rsidR="00BC5654" w:rsidRPr="00CE1E23" w:rsidRDefault="00BC5654">
      <w:pPr>
        <w:pStyle w:val="BodyText"/>
        <w:spacing w:before="9"/>
        <w:rPr>
          <w:rFonts w:asciiTheme="majorHAnsi" w:hAnsiTheme="majorHAnsi"/>
          <w:b/>
        </w:rPr>
      </w:pPr>
    </w:p>
    <w:p w14:paraId="7021A0B4" w14:textId="77777777" w:rsidR="00BC5654" w:rsidRPr="00CE1E23" w:rsidRDefault="000B0CDF">
      <w:pPr>
        <w:spacing w:before="56"/>
        <w:ind w:left="247" w:right="512"/>
        <w:rPr>
          <w:rFonts w:asciiTheme="majorHAnsi" w:hAnsiTheme="majorHAnsi"/>
          <w:sz w:val="21"/>
          <w:szCs w:val="21"/>
        </w:rPr>
      </w:pPr>
      <w:r w:rsidRPr="00CE1E23">
        <w:rPr>
          <w:rFonts w:asciiTheme="majorHAnsi" w:hAnsiTheme="majorHAnsi"/>
          <w:sz w:val="21"/>
          <w:szCs w:val="21"/>
        </w:rPr>
        <w:t>The Maine JobLink administrator(s) cannot accept a job posting for which the employer has given MJL a list of names of the candidates to be referred and refuses to consider other qualified candidates whose names do not appear on the employer’s list.</w:t>
      </w:r>
    </w:p>
    <w:p w14:paraId="7021A0B5" w14:textId="77777777" w:rsidR="00BC5654" w:rsidRPr="00CE1E23" w:rsidRDefault="00BC5654">
      <w:pPr>
        <w:pStyle w:val="BodyText"/>
        <w:spacing w:before="9"/>
        <w:rPr>
          <w:rFonts w:asciiTheme="majorHAnsi" w:hAnsiTheme="majorHAnsi"/>
          <w:sz w:val="23"/>
        </w:rPr>
      </w:pPr>
    </w:p>
    <w:p w14:paraId="7021A0B6" w14:textId="77777777" w:rsidR="00BC5654" w:rsidRPr="00CE1E23" w:rsidRDefault="000B0CDF">
      <w:pPr>
        <w:pStyle w:val="Heading2"/>
        <w:ind w:left="247"/>
        <w:rPr>
          <w:rFonts w:asciiTheme="majorHAnsi" w:hAnsiTheme="majorHAnsi"/>
          <w:u w:val="none"/>
        </w:rPr>
      </w:pPr>
      <w:r w:rsidRPr="00CE1E23">
        <w:rPr>
          <w:rFonts w:asciiTheme="majorHAnsi" w:hAnsiTheme="majorHAnsi"/>
          <w:u w:val="thick"/>
        </w:rPr>
        <w:t>Conflict with State and Federal Laws</w:t>
      </w:r>
    </w:p>
    <w:p w14:paraId="7021A0B7" w14:textId="77777777" w:rsidR="00BC5654" w:rsidRPr="00CE1E23" w:rsidRDefault="000B0CDF">
      <w:pPr>
        <w:pStyle w:val="BodyText"/>
        <w:spacing w:before="185"/>
        <w:ind w:left="247" w:right="544"/>
        <w:rPr>
          <w:rFonts w:asciiTheme="majorHAnsi" w:hAnsiTheme="majorHAnsi"/>
        </w:rPr>
      </w:pPr>
      <w:r w:rsidRPr="00CE1E23">
        <w:rPr>
          <w:rFonts w:asciiTheme="majorHAnsi" w:hAnsiTheme="majorHAnsi"/>
        </w:rPr>
        <w:t>The Maine JobLink does not accept job postings describing work situations that conflict with Federal and State compensation laws such as, but not limited to, the Fair Labor Standards Act (29 U.S.C. Chapter 8), Minimum Wage Act (§664), Payment of Wage Law or Child Labor Laws (</w:t>
      </w:r>
      <w:hyperlink r:id="rId6">
        <w:r w:rsidRPr="00CE1E23">
          <w:rPr>
            <w:rFonts w:asciiTheme="majorHAnsi" w:hAnsiTheme="majorHAnsi"/>
            <w:color w:val="0000FF"/>
            <w:u w:val="single" w:color="0000FF"/>
          </w:rPr>
          <w:t>https://www.maine.gov/labor/labor_laws/wagehour.html</w:t>
        </w:r>
      </w:hyperlink>
      <w:r w:rsidRPr="00CE1E23">
        <w:rPr>
          <w:rFonts w:asciiTheme="majorHAnsi" w:hAnsiTheme="majorHAnsi"/>
        </w:rPr>
        <w:t>.</w:t>
      </w:r>
    </w:p>
    <w:p w14:paraId="7021A0B8" w14:textId="77777777" w:rsidR="00BC5654" w:rsidRPr="00CE1E23" w:rsidRDefault="00BC5654">
      <w:pPr>
        <w:pStyle w:val="BodyText"/>
        <w:spacing w:before="11"/>
        <w:rPr>
          <w:rFonts w:asciiTheme="majorHAnsi" w:hAnsiTheme="majorHAnsi"/>
          <w:sz w:val="20"/>
        </w:rPr>
      </w:pPr>
    </w:p>
    <w:p w14:paraId="7021A0B9" w14:textId="77777777" w:rsidR="00BC5654" w:rsidRPr="00CE1E23" w:rsidRDefault="000B0CDF">
      <w:pPr>
        <w:pStyle w:val="Heading2"/>
        <w:ind w:left="247"/>
        <w:rPr>
          <w:rFonts w:asciiTheme="majorHAnsi" w:hAnsiTheme="majorHAnsi"/>
          <w:u w:val="none"/>
        </w:rPr>
      </w:pPr>
      <w:r w:rsidRPr="00CE1E23">
        <w:rPr>
          <w:rFonts w:asciiTheme="majorHAnsi" w:hAnsiTheme="majorHAnsi"/>
          <w:u w:val="thick"/>
        </w:rPr>
        <w:t>Postings for Independent Contractors or Statutory Nonemployees</w:t>
      </w:r>
    </w:p>
    <w:p w14:paraId="7021A0BB" w14:textId="38E23A4F" w:rsidR="00BC5654" w:rsidRPr="00CE1E23" w:rsidRDefault="000B0CDF" w:rsidP="00793AE4">
      <w:pPr>
        <w:pStyle w:val="BodyText"/>
        <w:spacing w:before="185"/>
        <w:ind w:left="247" w:right="569"/>
        <w:rPr>
          <w:rFonts w:asciiTheme="majorHAnsi" w:hAnsiTheme="majorHAnsi"/>
        </w:rPr>
        <w:sectPr w:rsidR="00BC5654" w:rsidRPr="00CE1E23" w:rsidSect="00814B40">
          <w:pgSz w:w="12240" w:h="15840"/>
          <w:pgMar w:top="720" w:right="576" w:bottom="274" w:left="576" w:header="720" w:footer="720" w:gutter="0"/>
          <w:cols w:space="720"/>
        </w:sectPr>
      </w:pPr>
      <w:r w:rsidRPr="00CE1E23">
        <w:rPr>
          <w:rFonts w:asciiTheme="majorHAnsi" w:hAnsiTheme="majorHAnsi"/>
        </w:rPr>
        <w:t xml:space="preserve">The Maine JobLink currently cannot accept job postings for positions for which the employer will use IRS Form 1099 to report compensation paid. (Reference: U.S. Department of Treasury, Internal Revenue, Publication 15-A, Cat. No. 21453T, </w:t>
      </w:r>
      <w:r w:rsidRPr="00CE1E23">
        <w:rPr>
          <w:rFonts w:asciiTheme="majorHAnsi" w:hAnsiTheme="majorHAnsi"/>
          <w:u w:val="single"/>
        </w:rPr>
        <w:t>Employer’s Supplemental Tax Guide</w:t>
      </w:r>
      <w:r w:rsidRPr="00CE1E23">
        <w:rPr>
          <w:rFonts w:asciiTheme="majorHAnsi" w:hAnsiTheme="majorHAnsi"/>
        </w:rPr>
        <w:t>.</w:t>
      </w:r>
    </w:p>
    <w:p w14:paraId="7021A0BC" w14:textId="77777777" w:rsidR="00BC5654" w:rsidRPr="00CE1E23" w:rsidRDefault="000B0CDF" w:rsidP="00345677">
      <w:pPr>
        <w:pStyle w:val="Heading2"/>
        <w:spacing w:before="72"/>
        <w:ind w:left="0" w:firstLine="107"/>
        <w:rPr>
          <w:rFonts w:asciiTheme="majorHAnsi" w:hAnsiTheme="majorHAnsi"/>
          <w:u w:val="none"/>
        </w:rPr>
      </w:pPr>
      <w:r w:rsidRPr="00CE1E23">
        <w:rPr>
          <w:rFonts w:asciiTheme="majorHAnsi" w:hAnsiTheme="majorHAnsi"/>
          <w:u w:val="thick"/>
        </w:rPr>
        <w:lastRenderedPageBreak/>
        <w:t>Fees for Consideration</w:t>
      </w:r>
    </w:p>
    <w:p w14:paraId="7021A0BE" w14:textId="1CB4B7DA" w:rsidR="00BC5654" w:rsidRPr="00CE1E23" w:rsidRDefault="000B0CDF" w:rsidP="00351821">
      <w:pPr>
        <w:pStyle w:val="BodyText"/>
        <w:spacing w:before="185"/>
        <w:ind w:left="107" w:right="2216"/>
        <w:rPr>
          <w:rFonts w:asciiTheme="majorHAnsi" w:hAnsiTheme="majorHAnsi"/>
        </w:rPr>
      </w:pPr>
      <w:r w:rsidRPr="00CE1E23">
        <w:rPr>
          <w:rFonts w:asciiTheme="majorHAnsi" w:hAnsiTheme="majorHAnsi"/>
        </w:rPr>
        <w:t>The Wagner-Peyser Act and associated regulations [Section 13(b)(1)] prohibit the MJL from accepting postings for positions for which the individual must:</w:t>
      </w:r>
    </w:p>
    <w:p w14:paraId="7021A0BF" w14:textId="5FF336A2" w:rsidR="00BC5654" w:rsidRPr="00CE1E23" w:rsidRDefault="000B0CDF" w:rsidP="00351821">
      <w:pPr>
        <w:pStyle w:val="ListParagraph"/>
        <w:numPr>
          <w:ilvl w:val="0"/>
          <w:numId w:val="25"/>
        </w:numPr>
        <w:rPr>
          <w:rFonts w:asciiTheme="majorHAnsi" w:hAnsiTheme="majorHAnsi"/>
          <w:sz w:val="21"/>
          <w:szCs w:val="21"/>
        </w:rPr>
      </w:pPr>
      <w:r w:rsidRPr="00CE1E23">
        <w:rPr>
          <w:rFonts w:asciiTheme="majorHAnsi" w:hAnsiTheme="majorHAnsi"/>
          <w:sz w:val="21"/>
          <w:szCs w:val="21"/>
        </w:rPr>
        <w:t>Pay a fee in</w:t>
      </w:r>
      <w:r w:rsidR="00DF01F7" w:rsidRPr="00CE1E23">
        <w:rPr>
          <w:rFonts w:asciiTheme="majorHAnsi" w:hAnsiTheme="majorHAnsi"/>
          <w:sz w:val="21"/>
          <w:szCs w:val="21"/>
        </w:rPr>
        <w:t>-</w:t>
      </w:r>
      <w:r w:rsidRPr="00CE1E23">
        <w:rPr>
          <w:rFonts w:asciiTheme="majorHAnsi" w:hAnsiTheme="majorHAnsi"/>
          <w:sz w:val="21"/>
          <w:szCs w:val="21"/>
        </w:rPr>
        <w:t>order to be considered for employment (agency</w:t>
      </w:r>
      <w:r w:rsidRPr="00CE1E23">
        <w:rPr>
          <w:rFonts w:asciiTheme="majorHAnsi" w:hAnsiTheme="majorHAnsi"/>
          <w:spacing w:val="-20"/>
          <w:sz w:val="21"/>
          <w:szCs w:val="21"/>
        </w:rPr>
        <w:t xml:space="preserve"> </w:t>
      </w:r>
      <w:r w:rsidRPr="00CE1E23">
        <w:rPr>
          <w:rFonts w:asciiTheme="majorHAnsi" w:hAnsiTheme="majorHAnsi"/>
          <w:sz w:val="21"/>
          <w:szCs w:val="21"/>
        </w:rPr>
        <w:t>fee),</w:t>
      </w:r>
    </w:p>
    <w:p w14:paraId="7021A0C0" w14:textId="2D450F4A" w:rsidR="00BC5654" w:rsidRPr="00CE1E23" w:rsidRDefault="000B0CDF" w:rsidP="00351821">
      <w:pPr>
        <w:pStyle w:val="ListParagraph"/>
        <w:numPr>
          <w:ilvl w:val="0"/>
          <w:numId w:val="25"/>
        </w:numPr>
        <w:rPr>
          <w:rFonts w:asciiTheme="majorHAnsi" w:hAnsiTheme="majorHAnsi"/>
          <w:sz w:val="21"/>
          <w:szCs w:val="21"/>
        </w:rPr>
      </w:pPr>
      <w:r w:rsidRPr="00CE1E23">
        <w:rPr>
          <w:rFonts w:asciiTheme="majorHAnsi" w:hAnsiTheme="majorHAnsi"/>
          <w:sz w:val="21"/>
          <w:szCs w:val="21"/>
        </w:rPr>
        <w:t>Pay for employer-provided training in</w:t>
      </w:r>
      <w:r w:rsidR="00DF01F7" w:rsidRPr="00CE1E23">
        <w:rPr>
          <w:rFonts w:asciiTheme="majorHAnsi" w:hAnsiTheme="majorHAnsi"/>
          <w:sz w:val="21"/>
          <w:szCs w:val="21"/>
        </w:rPr>
        <w:t>-</w:t>
      </w:r>
      <w:r w:rsidRPr="00CE1E23">
        <w:rPr>
          <w:rFonts w:asciiTheme="majorHAnsi" w:hAnsiTheme="majorHAnsi"/>
          <w:sz w:val="21"/>
          <w:szCs w:val="21"/>
        </w:rPr>
        <w:t>order to be considered for employment (training</w:t>
      </w:r>
      <w:r w:rsidRPr="00CE1E23">
        <w:rPr>
          <w:rFonts w:asciiTheme="majorHAnsi" w:hAnsiTheme="majorHAnsi"/>
          <w:spacing w:val="-32"/>
          <w:sz w:val="21"/>
          <w:szCs w:val="21"/>
        </w:rPr>
        <w:t xml:space="preserve"> </w:t>
      </w:r>
      <w:r w:rsidRPr="00CE1E23">
        <w:rPr>
          <w:rFonts w:asciiTheme="majorHAnsi" w:hAnsiTheme="majorHAnsi"/>
          <w:sz w:val="21"/>
          <w:szCs w:val="21"/>
        </w:rPr>
        <w:t>fee),</w:t>
      </w:r>
    </w:p>
    <w:p w14:paraId="7021A0C1" w14:textId="77777777" w:rsidR="00BC5654" w:rsidRPr="00CE1E23" w:rsidRDefault="000B0CDF" w:rsidP="00351821">
      <w:pPr>
        <w:pStyle w:val="ListParagraph"/>
        <w:numPr>
          <w:ilvl w:val="0"/>
          <w:numId w:val="25"/>
        </w:numPr>
        <w:rPr>
          <w:rFonts w:asciiTheme="majorHAnsi" w:hAnsiTheme="majorHAnsi"/>
          <w:sz w:val="21"/>
          <w:szCs w:val="21"/>
        </w:rPr>
      </w:pPr>
      <w:r w:rsidRPr="00CE1E23">
        <w:rPr>
          <w:rFonts w:asciiTheme="majorHAnsi" w:hAnsiTheme="majorHAnsi"/>
          <w:sz w:val="21"/>
          <w:szCs w:val="21"/>
        </w:rPr>
        <w:t>Make an investment in materials, goods, services or equipment and/or go into</w:t>
      </w:r>
      <w:r w:rsidRPr="00CE1E23">
        <w:rPr>
          <w:rFonts w:asciiTheme="majorHAnsi" w:hAnsiTheme="majorHAnsi"/>
          <w:spacing w:val="-35"/>
          <w:sz w:val="21"/>
          <w:szCs w:val="21"/>
        </w:rPr>
        <w:t xml:space="preserve"> </w:t>
      </w:r>
      <w:r w:rsidRPr="00CE1E23">
        <w:rPr>
          <w:rFonts w:asciiTheme="majorHAnsi" w:hAnsiTheme="majorHAnsi"/>
          <w:sz w:val="21"/>
          <w:szCs w:val="21"/>
        </w:rPr>
        <w:t>business (Franchise fees, Licensing fees, purchase of Direct Selling “kits”),</w:t>
      </w:r>
      <w:r w:rsidRPr="00CE1E23">
        <w:rPr>
          <w:rFonts w:asciiTheme="majorHAnsi" w:hAnsiTheme="majorHAnsi"/>
          <w:spacing w:val="-31"/>
          <w:sz w:val="21"/>
          <w:szCs w:val="21"/>
        </w:rPr>
        <w:t xml:space="preserve"> </w:t>
      </w:r>
      <w:r w:rsidRPr="00CE1E23">
        <w:rPr>
          <w:rFonts w:asciiTheme="majorHAnsi" w:hAnsiTheme="majorHAnsi"/>
          <w:sz w:val="21"/>
          <w:szCs w:val="21"/>
        </w:rPr>
        <w:t>and/or</w:t>
      </w:r>
    </w:p>
    <w:p w14:paraId="7021A0C2" w14:textId="77777777" w:rsidR="00BC5654" w:rsidRPr="00CE1E23" w:rsidRDefault="000B0CDF" w:rsidP="00351821">
      <w:pPr>
        <w:pStyle w:val="ListParagraph"/>
        <w:numPr>
          <w:ilvl w:val="0"/>
          <w:numId w:val="25"/>
        </w:numPr>
        <w:rPr>
          <w:rFonts w:asciiTheme="majorHAnsi" w:hAnsiTheme="majorHAnsi"/>
          <w:sz w:val="21"/>
          <w:szCs w:val="21"/>
        </w:rPr>
      </w:pPr>
      <w:r w:rsidRPr="00CE1E23">
        <w:rPr>
          <w:rFonts w:asciiTheme="majorHAnsi" w:hAnsiTheme="majorHAnsi"/>
          <w:sz w:val="21"/>
          <w:szCs w:val="21"/>
        </w:rPr>
        <w:t>Any similar arrangement that requires an individual to pay the advertising employer or third- party acting on behalf of the</w:t>
      </w:r>
      <w:r w:rsidRPr="00CE1E23">
        <w:rPr>
          <w:rFonts w:asciiTheme="majorHAnsi" w:hAnsiTheme="majorHAnsi"/>
          <w:spacing w:val="-9"/>
          <w:sz w:val="21"/>
          <w:szCs w:val="21"/>
        </w:rPr>
        <w:t xml:space="preserve"> </w:t>
      </w:r>
      <w:r w:rsidRPr="00CE1E23">
        <w:rPr>
          <w:rFonts w:asciiTheme="majorHAnsi" w:hAnsiTheme="majorHAnsi"/>
          <w:sz w:val="21"/>
          <w:szCs w:val="21"/>
        </w:rPr>
        <w:t>employer.</w:t>
      </w:r>
    </w:p>
    <w:p w14:paraId="7021A0C3" w14:textId="77777777" w:rsidR="00BC5654" w:rsidRPr="00CE1E23" w:rsidRDefault="00BC5654" w:rsidP="00351821">
      <w:pPr>
        <w:pStyle w:val="ListParagraph"/>
        <w:rPr>
          <w:rFonts w:asciiTheme="majorHAnsi" w:hAnsiTheme="majorHAnsi"/>
          <w:sz w:val="21"/>
          <w:szCs w:val="21"/>
        </w:rPr>
      </w:pPr>
    </w:p>
    <w:p w14:paraId="7021A0C4" w14:textId="3BA17FF3" w:rsidR="00BC5654" w:rsidRPr="00CE1E23" w:rsidRDefault="000B0CDF">
      <w:pPr>
        <w:pStyle w:val="BodyText"/>
        <w:ind w:left="107" w:right="202"/>
        <w:rPr>
          <w:rFonts w:asciiTheme="majorHAnsi" w:hAnsiTheme="majorHAnsi"/>
        </w:rPr>
      </w:pPr>
      <w:r w:rsidRPr="00CE1E23">
        <w:rPr>
          <w:rFonts w:asciiTheme="majorHAnsi" w:hAnsiTheme="majorHAnsi"/>
        </w:rPr>
        <w:t>If a job seeker responding to a posting in the MJL reports to the MJL staff that the employer has asked for money or payment of any type of fee, similar to the fees/payments described above, the MJL reserves the right to cease referrals and not display the posting while investigating the matter.</w:t>
      </w:r>
    </w:p>
    <w:p w14:paraId="7021A0C5" w14:textId="77777777" w:rsidR="00BC5654" w:rsidRPr="00CE1E23" w:rsidRDefault="00BC5654">
      <w:pPr>
        <w:pStyle w:val="BodyText"/>
        <w:spacing w:before="7"/>
        <w:rPr>
          <w:rFonts w:asciiTheme="majorHAnsi" w:hAnsiTheme="majorHAnsi"/>
        </w:rPr>
      </w:pPr>
    </w:p>
    <w:p w14:paraId="7021A0C6" w14:textId="77777777" w:rsidR="00BC5654" w:rsidRPr="00CE1E23" w:rsidRDefault="000B0CDF">
      <w:pPr>
        <w:pStyle w:val="Heading2"/>
        <w:rPr>
          <w:rFonts w:asciiTheme="majorHAnsi" w:hAnsiTheme="majorHAnsi"/>
          <w:u w:val="none"/>
        </w:rPr>
      </w:pPr>
      <w:r w:rsidRPr="00CE1E23">
        <w:rPr>
          <w:rFonts w:asciiTheme="majorHAnsi" w:hAnsiTheme="majorHAnsi"/>
          <w:u w:val="thick"/>
        </w:rPr>
        <w:t>Union or Non-Union Specifications</w:t>
      </w:r>
    </w:p>
    <w:p w14:paraId="7021A0C7" w14:textId="77777777" w:rsidR="00BC5654" w:rsidRPr="00CE1E23" w:rsidRDefault="000B0CDF">
      <w:pPr>
        <w:pStyle w:val="BodyText"/>
        <w:spacing w:before="185"/>
        <w:ind w:left="107" w:right="101"/>
        <w:rPr>
          <w:rFonts w:asciiTheme="majorHAnsi" w:hAnsiTheme="majorHAnsi"/>
        </w:rPr>
      </w:pPr>
      <w:r w:rsidRPr="00CE1E23">
        <w:rPr>
          <w:rFonts w:asciiTheme="majorHAnsi" w:hAnsiTheme="majorHAnsi"/>
        </w:rPr>
        <w:t>The Maine JobLink does not accept job orders with language that conflicts with the Maine Right to Work Act. The Act provides that an employer cannot condition employment/continued employment by requiring an individual to become/remain a union member or by requiring an individual to abstain/refrain from union membership.</w:t>
      </w:r>
    </w:p>
    <w:p w14:paraId="7021A0C8" w14:textId="77777777" w:rsidR="00BC5654" w:rsidRPr="00CE1E23" w:rsidRDefault="00BC5654">
      <w:pPr>
        <w:pStyle w:val="BodyText"/>
        <w:rPr>
          <w:rFonts w:asciiTheme="majorHAnsi" w:hAnsiTheme="majorHAnsi"/>
        </w:rPr>
      </w:pPr>
    </w:p>
    <w:p w14:paraId="7021A0C9" w14:textId="77777777" w:rsidR="00BC5654" w:rsidRPr="00CE1E23" w:rsidRDefault="000B0CDF">
      <w:pPr>
        <w:pStyle w:val="Heading2"/>
        <w:spacing w:before="209"/>
        <w:rPr>
          <w:rFonts w:asciiTheme="majorHAnsi" w:hAnsiTheme="majorHAnsi"/>
          <w:u w:val="none"/>
        </w:rPr>
      </w:pPr>
      <w:r w:rsidRPr="00CE1E23">
        <w:rPr>
          <w:rFonts w:asciiTheme="majorHAnsi" w:hAnsiTheme="majorHAnsi"/>
          <w:u w:val="thick"/>
        </w:rPr>
        <w:t>Labor Disputes In Progress</w:t>
      </w:r>
    </w:p>
    <w:p w14:paraId="7021A0CA" w14:textId="77777777" w:rsidR="00BC5654" w:rsidRPr="00CE1E23" w:rsidRDefault="000B0CDF">
      <w:pPr>
        <w:pStyle w:val="BodyText"/>
        <w:spacing w:before="185"/>
        <w:ind w:left="107" w:right="291"/>
        <w:rPr>
          <w:rFonts w:asciiTheme="majorHAnsi" w:hAnsiTheme="majorHAnsi"/>
        </w:rPr>
      </w:pPr>
      <w:r w:rsidRPr="00CE1E23">
        <w:rPr>
          <w:rFonts w:asciiTheme="majorHAnsi" w:hAnsiTheme="majorHAnsi"/>
        </w:rPr>
        <w:t>The Maine JobLink cannot accept job postings for positions that are vacant because the incumbent is on strike or locked-out, or for positions that are in dispute. Staff is obligated to follow the provisions related to labor disputes found at 20 CFR Subpart A - 652.9.</w:t>
      </w:r>
    </w:p>
    <w:p w14:paraId="7021A0CB" w14:textId="77777777" w:rsidR="00BC5654" w:rsidRPr="00CE1E23" w:rsidRDefault="00BC5654">
      <w:pPr>
        <w:pStyle w:val="BodyText"/>
        <w:spacing w:before="10"/>
        <w:rPr>
          <w:rFonts w:asciiTheme="majorHAnsi" w:hAnsiTheme="majorHAnsi"/>
        </w:rPr>
      </w:pPr>
    </w:p>
    <w:p w14:paraId="7021A0CC" w14:textId="77777777" w:rsidR="00BC5654" w:rsidRPr="00CE1E23" w:rsidRDefault="000B0CDF">
      <w:pPr>
        <w:pStyle w:val="Heading2"/>
        <w:rPr>
          <w:rFonts w:asciiTheme="majorHAnsi" w:hAnsiTheme="majorHAnsi"/>
          <w:u w:val="none"/>
        </w:rPr>
      </w:pPr>
      <w:r w:rsidRPr="00CE1E23">
        <w:rPr>
          <w:rFonts w:asciiTheme="majorHAnsi" w:hAnsiTheme="majorHAnsi"/>
          <w:u w:val="thick"/>
        </w:rPr>
        <w:t>Locking An Employer Account</w:t>
      </w:r>
    </w:p>
    <w:p w14:paraId="7021A0CD" w14:textId="77777777" w:rsidR="00BC5654" w:rsidRPr="00CE1E23" w:rsidRDefault="00BC5654">
      <w:pPr>
        <w:pStyle w:val="BodyText"/>
        <w:spacing w:before="10"/>
        <w:rPr>
          <w:rFonts w:asciiTheme="majorHAnsi" w:hAnsiTheme="majorHAnsi"/>
          <w:b/>
        </w:rPr>
      </w:pPr>
    </w:p>
    <w:p w14:paraId="7021A0CE" w14:textId="77777777" w:rsidR="00BC5654" w:rsidRPr="00CE1E23" w:rsidRDefault="000B0CDF">
      <w:pPr>
        <w:pStyle w:val="BodyText"/>
        <w:ind w:left="107" w:right="316"/>
        <w:rPr>
          <w:rFonts w:asciiTheme="majorHAnsi" w:hAnsiTheme="majorHAnsi"/>
          <w:i/>
        </w:rPr>
      </w:pPr>
      <w:r w:rsidRPr="00CE1E23">
        <w:rPr>
          <w:rFonts w:asciiTheme="majorHAnsi" w:hAnsiTheme="majorHAnsi"/>
        </w:rPr>
        <w:t xml:space="preserve">Should an employer have repeated violations of this policy, the MJL reserves the right to remove non- conforming job postings and/or change the status of the Employer’s account from </w:t>
      </w:r>
      <w:r w:rsidRPr="00CE1E23">
        <w:rPr>
          <w:rFonts w:asciiTheme="majorHAnsi" w:hAnsiTheme="majorHAnsi"/>
          <w:i/>
        </w:rPr>
        <w:t xml:space="preserve">“Active” </w:t>
      </w:r>
      <w:r w:rsidRPr="00CE1E23">
        <w:rPr>
          <w:rFonts w:asciiTheme="majorHAnsi" w:hAnsiTheme="majorHAnsi"/>
        </w:rPr>
        <w:t xml:space="preserve">to </w:t>
      </w:r>
      <w:r w:rsidRPr="00CE1E23">
        <w:rPr>
          <w:rFonts w:asciiTheme="majorHAnsi" w:hAnsiTheme="majorHAnsi"/>
          <w:i/>
        </w:rPr>
        <w:t>“Deleted.”</w:t>
      </w:r>
    </w:p>
    <w:p w14:paraId="7021A0CF" w14:textId="77777777" w:rsidR="00BC5654" w:rsidRPr="00CE1E23" w:rsidRDefault="00BC5654">
      <w:pPr>
        <w:pStyle w:val="BodyText"/>
        <w:spacing w:before="10"/>
        <w:rPr>
          <w:rFonts w:asciiTheme="majorHAnsi" w:hAnsiTheme="majorHAnsi"/>
          <w:i/>
        </w:rPr>
      </w:pPr>
    </w:p>
    <w:p w14:paraId="7021A0D0" w14:textId="2F8A5AF2" w:rsidR="00BC5654" w:rsidRPr="00CE1E23" w:rsidRDefault="000B0CDF">
      <w:pPr>
        <w:pStyle w:val="BodyText"/>
        <w:ind w:left="107" w:right="461"/>
        <w:rPr>
          <w:rFonts w:asciiTheme="majorHAnsi" w:hAnsiTheme="majorHAnsi"/>
        </w:rPr>
      </w:pPr>
      <w:r w:rsidRPr="00CE1E23">
        <w:rPr>
          <w:rFonts w:asciiTheme="majorHAnsi" w:hAnsiTheme="majorHAnsi"/>
        </w:rPr>
        <w:t xml:space="preserve">Employer accounts established by individuals or organizations found to be posing as an employer for the purpose of “phishing” for e-mail addresses, will be placed in </w:t>
      </w:r>
      <w:r w:rsidRPr="00CE1E23">
        <w:rPr>
          <w:rFonts w:asciiTheme="majorHAnsi" w:hAnsiTheme="majorHAnsi"/>
          <w:i/>
        </w:rPr>
        <w:t xml:space="preserve">“Deleted” </w:t>
      </w:r>
      <w:r w:rsidRPr="00CE1E23">
        <w:rPr>
          <w:rFonts w:asciiTheme="majorHAnsi" w:hAnsiTheme="majorHAnsi"/>
        </w:rPr>
        <w:t>status.</w:t>
      </w:r>
    </w:p>
    <w:p w14:paraId="7021A0D1" w14:textId="77777777" w:rsidR="00BC5654" w:rsidRPr="00CE1E23" w:rsidRDefault="00BC5654">
      <w:pPr>
        <w:pStyle w:val="BodyText"/>
        <w:rPr>
          <w:rFonts w:asciiTheme="majorHAnsi" w:hAnsiTheme="majorHAnsi"/>
          <w:sz w:val="24"/>
        </w:rPr>
      </w:pPr>
    </w:p>
    <w:p w14:paraId="7021A0D2" w14:textId="77777777" w:rsidR="00BC5654" w:rsidRPr="00CE1E23" w:rsidRDefault="00BC5654">
      <w:pPr>
        <w:pStyle w:val="BodyText"/>
        <w:rPr>
          <w:rFonts w:asciiTheme="majorHAnsi" w:hAnsiTheme="majorHAnsi"/>
          <w:sz w:val="24"/>
        </w:rPr>
      </w:pPr>
    </w:p>
    <w:p w14:paraId="7021A0D3" w14:textId="77777777" w:rsidR="00BC5654" w:rsidRPr="00CE1E23" w:rsidRDefault="00BC5654">
      <w:pPr>
        <w:pStyle w:val="BodyText"/>
        <w:rPr>
          <w:rFonts w:asciiTheme="majorHAnsi" w:hAnsiTheme="majorHAnsi"/>
          <w:sz w:val="24"/>
        </w:rPr>
      </w:pPr>
    </w:p>
    <w:p w14:paraId="7021A0D4" w14:textId="77777777" w:rsidR="00BC5654" w:rsidRPr="00CE1E23" w:rsidRDefault="00BC5654">
      <w:pPr>
        <w:pStyle w:val="BodyText"/>
        <w:rPr>
          <w:rFonts w:asciiTheme="majorHAnsi" w:hAnsiTheme="majorHAnsi"/>
          <w:sz w:val="24"/>
        </w:rPr>
      </w:pPr>
    </w:p>
    <w:p w14:paraId="7021A0D5" w14:textId="77777777" w:rsidR="00BC5654" w:rsidRPr="00CE1E23" w:rsidRDefault="00BC5654">
      <w:pPr>
        <w:pStyle w:val="BodyText"/>
        <w:rPr>
          <w:rFonts w:asciiTheme="majorHAnsi" w:hAnsiTheme="majorHAnsi"/>
          <w:sz w:val="24"/>
        </w:rPr>
      </w:pPr>
    </w:p>
    <w:p w14:paraId="7021A0D6" w14:textId="77777777" w:rsidR="00BC5654" w:rsidRPr="00CE1E23" w:rsidRDefault="00BC5654">
      <w:pPr>
        <w:pStyle w:val="BodyText"/>
        <w:rPr>
          <w:rFonts w:asciiTheme="majorHAnsi" w:hAnsiTheme="majorHAnsi"/>
          <w:sz w:val="24"/>
        </w:rPr>
      </w:pPr>
    </w:p>
    <w:p w14:paraId="7021A0D7" w14:textId="77777777" w:rsidR="00BC5654" w:rsidRPr="00CE1E23" w:rsidRDefault="00BC5654">
      <w:pPr>
        <w:pStyle w:val="BodyText"/>
        <w:rPr>
          <w:rFonts w:asciiTheme="majorHAnsi" w:hAnsiTheme="majorHAnsi"/>
          <w:sz w:val="24"/>
        </w:rPr>
      </w:pPr>
    </w:p>
    <w:p w14:paraId="7021A0D8" w14:textId="77777777" w:rsidR="00BC5654" w:rsidRPr="00CE1E23" w:rsidRDefault="00BC5654">
      <w:pPr>
        <w:pStyle w:val="BodyText"/>
        <w:rPr>
          <w:rFonts w:asciiTheme="majorHAnsi" w:hAnsiTheme="majorHAnsi"/>
          <w:sz w:val="24"/>
        </w:rPr>
      </w:pPr>
    </w:p>
    <w:p w14:paraId="7021A0D9" w14:textId="77777777" w:rsidR="00BC5654" w:rsidRPr="00CE1E23" w:rsidRDefault="00BC5654">
      <w:pPr>
        <w:pStyle w:val="BodyText"/>
        <w:rPr>
          <w:rFonts w:asciiTheme="majorHAnsi" w:hAnsiTheme="majorHAnsi"/>
          <w:sz w:val="24"/>
        </w:rPr>
      </w:pPr>
    </w:p>
    <w:p w14:paraId="7021A0DA" w14:textId="77777777" w:rsidR="00BC5654" w:rsidRPr="00CE1E23" w:rsidRDefault="00BC5654">
      <w:pPr>
        <w:pStyle w:val="BodyText"/>
        <w:rPr>
          <w:rFonts w:asciiTheme="majorHAnsi" w:hAnsiTheme="majorHAnsi"/>
          <w:sz w:val="24"/>
        </w:rPr>
      </w:pPr>
    </w:p>
    <w:p w14:paraId="7021A0DB" w14:textId="77777777" w:rsidR="00BC5654" w:rsidRPr="00CE1E23" w:rsidRDefault="00BC5654">
      <w:pPr>
        <w:pStyle w:val="BodyText"/>
        <w:rPr>
          <w:rFonts w:asciiTheme="majorHAnsi" w:hAnsiTheme="majorHAnsi"/>
          <w:sz w:val="24"/>
        </w:rPr>
      </w:pPr>
    </w:p>
    <w:p w14:paraId="7021A0DC" w14:textId="77777777" w:rsidR="00BC5654" w:rsidRPr="00CE1E23" w:rsidRDefault="00BC5654">
      <w:pPr>
        <w:pStyle w:val="BodyText"/>
        <w:rPr>
          <w:rFonts w:asciiTheme="majorHAnsi" w:hAnsiTheme="majorHAnsi"/>
          <w:sz w:val="24"/>
        </w:rPr>
      </w:pPr>
    </w:p>
    <w:p w14:paraId="7021A0DD" w14:textId="77777777" w:rsidR="00BC5654" w:rsidRPr="00CE1E23" w:rsidRDefault="00BC5654">
      <w:pPr>
        <w:pStyle w:val="BodyText"/>
        <w:rPr>
          <w:rFonts w:asciiTheme="majorHAnsi" w:hAnsiTheme="majorHAnsi"/>
          <w:sz w:val="24"/>
        </w:rPr>
      </w:pPr>
    </w:p>
    <w:p w14:paraId="7021A0DE" w14:textId="77777777" w:rsidR="00BC5654" w:rsidRPr="00CE1E23" w:rsidRDefault="00BC5654">
      <w:pPr>
        <w:pStyle w:val="BodyText"/>
        <w:rPr>
          <w:rFonts w:asciiTheme="majorHAnsi" w:hAnsiTheme="majorHAnsi"/>
          <w:sz w:val="24"/>
        </w:rPr>
      </w:pPr>
    </w:p>
    <w:p w14:paraId="7021A0DF" w14:textId="77777777" w:rsidR="00BC5654" w:rsidRPr="00CE1E23" w:rsidRDefault="00BC5654">
      <w:pPr>
        <w:pStyle w:val="BodyText"/>
        <w:rPr>
          <w:rFonts w:asciiTheme="majorHAnsi" w:hAnsiTheme="majorHAnsi"/>
          <w:sz w:val="24"/>
        </w:rPr>
      </w:pPr>
    </w:p>
    <w:p w14:paraId="7021A0E0" w14:textId="3BDCBB26" w:rsidR="00BC5654" w:rsidRPr="00CE1E23" w:rsidRDefault="00BC5654">
      <w:pPr>
        <w:pStyle w:val="BodyText"/>
        <w:spacing w:before="9"/>
        <w:rPr>
          <w:rFonts w:asciiTheme="majorHAnsi" w:hAnsiTheme="majorHAnsi"/>
          <w:sz w:val="30"/>
        </w:rPr>
      </w:pPr>
    </w:p>
    <w:p w14:paraId="1E0461EB" w14:textId="292D484B" w:rsidR="004C5C7E" w:rsidRPr="00CE1E23" w:rsidRDefault="004C5C7E">
      <w:pPr>
        <w:pStyle w:val="BodyText"/>
        <w:spacing w:before="9"/>
        <w:rPr>
          <w:rFonts w:asciiTheme="majorHAnsi" w:hAnsiTheme="majorHAnsi"/>
          <w:sz w:val="30"/>
        </w:rPr>
      </w:pPr>
    </w:p>
    <w:p w14:paraId="493B2981" w14:textId="77777777" w:rsidR="004C5C7E" w:rsidRPr="00CE1E23" w:rsidRDefault="004C5C7E">
      <w:pPr>
        <w:pStyle w:val="BodyText"/>
        <w:spacing w:before="9"/>
        <w:rPr>
          <w:rFonts w:asciiTheme="majorHAnsi" w:hAnsiTheme="majorHAnsi"/>
          <w:sz w:val="30"/>
        </w:rPr>
      </w:pPr>
    </w:p>
    <w:p w14:paraId="7021A0E1" w14:textId="509C8BA6" w:rsidR="00BC5654" w:rsidRPr="00CE1E23" w:rsidRDefault="000B0CDF">
      <w:pPr>
        <w:ind w:left="107"/>
        <w:rPr>
          <w:rFonts w:asciiTheme="majorHAnsi" w:hAnsiTheme="majorHAnsi"/>
          <w:sz w:val="18"/>
        </w:rPr>
      </w:pPr>
      <w:r w:rsidRPr="00CE1E23">
        <w:rPr>
          <w:rFonts w:asciiTheme="majorHAnsi" w:hAnsiTheme="majorHAnsi"/>
          <w:sz w:val="18"/>
        </w:rPr>
        <w:t xml:space="preserve">Last Update/Reviewed: </w:t>
      </w:r>
      <w:r w:rsidR="00345677">
        <w:rPr>
          <w:rFonts w:asciiTheme="majorHAnsi" w:hAnsiTheme="majorHAnsi"/>
          <w:sz w:val="18"/>
        </w:rPr>
        <w:t>10</w:t>
      </w:r>
      <w:r w:rsidRPr="00CE1E23">
        <w:rPr>
          <w:rFonts w:asciiTheme="majorHAnsi" w:hAnsiTheme="majorHAnsi"/>
          <w:sz w:val="18"/>
        </w:rPr>
        <w:t>/</w:t>
      </w:r>
      <w:r w:rsidR="00345677">
        <w:rPr>
          <w:rFonts w:asciiTheme="majorHAnsi" w:hAnsiTheme="majorHAnsi"/>
          <w:sz w:val="18"/>
        </w:rPr>
        <w:t>20</w:t>
      </w:r>
      <w:r w:rsidRPr="00CE1E23">
        <w:rPr>
          <w:rFonts w:asciiTheme="majorHAnsi" w:hAnsiTheme="majorHAnsi"/>
          <w:sz w:val="18"/>
        </w:rPr>
        <w:t>/2</w:t>
      </w:r>
      <w:r w:rsidR="00345677">
        <w:rPr>
          <w:rFonts w:asciiTheme="majorHAnsi" w:hAnsiTheme="majorHAnsi"/>
          <w:sz w:val="18"/>
        </w:rPr>
        <w:t>021</w:t>
      </w:r>
    </w:p>
    <w:sectPr w:rsidR="00BC5654" w:rsidRPr="00CE1E23">
      <w:pgSz w:w="12240" w:h="15840"/>
      <w:pgMar w:top="11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058"/>
    <w:multiLevelType w:val="hybridMultilevel"/>
    <w:tmpl w:val="599E841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15:restartNumberingAfterBreak="0">
    <w:nsid w:val="042D746B"/>
    <w:multiLevelType w:val="hybridMultilevel"/>
    <w:tmpl w:val="1CE870F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A2B440E"/>
    <w:multiLevelType w:val="hybridMultilevel"/>
    <w:tmpl w:val="FAF6531A"/>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3" w15:restartNumberingAfterBreak="0">
    <w:nsid w:val="0E365897"/>
    <w:multiLevelType w:val="hybridMultilevel"/>
    <w:tmpl w:val="D44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4EB5"/>
    <w:multiLevelType w:val="hybridMultilevel"/>
    <w:tmpl w:val="8898D8F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0FC949F4"/>
    <w:multiLevelType w:val="hybridMultilevel"/>
    <w:tmpl w:val="BEE6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3080C"/>
    <w:multiLevelType w:val="hybridMultilevel"/>
    <w:tmpl w:val="A9C2F23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9087678"/>
    <w:multiLevelType w:val="hybridMultilevel"/>
    <w:tmpl w:val="5EC65E3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8B268B0"/>
    <w:multiLevelType w:val="hybridMultilevel"/>
    <w:tmpl w:val="DD28F96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C0031A2"/>
    <w:multiLevelType w:val="hybridMultilevel"/>
    <w:tmpl w:val="8FDC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92C3D"/>
    <w:multiLevelType w:val="hybridMultilevel"/>
    <w:tmpl w:val="7B701A1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305B493E"/>
    <w:multiLevelType w:val="hybridMultilevel"/>
    <w:tmpl w:val="2F4CFEE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384F6E08"/>
    <w:multiLevelType w:val="hybridMultilevel"/>
    <w:tmpl w:val="00DA2BE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3E8E1192"/>
    <w:multiLevelType w:val="hybridMultilevel"/>
    <w:tmpl w:val="8FB2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F2262"/>
    <w:multiLevelType w:val="hybridMultilevel"/>
    <w:tmpl w:val="63D8B5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48AB1E74"/>
    <w:multiLevelType w:val="hybridMultilevel"/>
    <w:tmpl w:val="ECF89B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55101BB1"/>
    <w:multiLevelType w:val="hybridMultilevel"/>
    <w:tmpl w:val="382C4D40"/>
    <w:lvl w:ilvl="0" w:tplc="F5649E12">
      <w:numFmt w:val="bullet"/>
      <w:lvlText w:val=""/>
      <w:lvlJc w:val="left"/>
      <w:pPr>
        <w:ind w:left="1128" w:hanging="360"/>
      </w:pPr>
      <w:rPr>
        <w:rFonts w:hint="default"/>
        <w:w w:val="99"/>
      </w:rPr>
    </w:lvl>
    <w:lvl w:ilvl="1" w:tplc="9176F3B0">
      <w:numFmt w:val="bullet"/>
      <w:lvlText w:val="•"/>
      <w:lvlJc w:val="left"/>
      <w:pPr>
        <w:ind w:left="2044" w:hanging="360"/>
      </w:pPr>
      <w:rPr>
        <w:rFonts w:hint="default"/>
      </w:rPr>
    </w:lvl>
    <w:lvl w:ilvl="2" w:tplc="4E52F7A6">
      <w:numFmt w:val="bullet"/>
      <w:lvlText w:val="•"/>
      <w:lvlJc w:val="left"/>
      <w:pPr>
        <w:ind w:left="2968" w:hanging="360"/>
      </w:pPr>
      <w:rPr>
        <w:rFonts w:hint="default"/>
      </w:rPr>
    </w:lvl>
    <w:lvl w:ilvl="3" w:tplc="2B4A0428">
      <w:numFmt w:val="bullet"/>
      <w:lvlText w:val="•"/>
      <w:lvlJc w:val="left"/>
      <w:pPr>
        <w:ind w:left="3892" w:hanging="360"/>
      </w:pPr>
      <w:rPr>
        <w:rFonts w:hint="default"/>
      </w:rPr>
    </w:lvl>
    <w:lvl w:ilvl="4" w:tplc="EB361704">
      <w:numFmt w:val="bullet"/>
      <w:lvlText w:val="•"/>
      <w:lvlJc w:val="left"/>
      <w:pPr>
        <w:ind w:left="4816" w:hanging="360"/>
      </w:pPr>
      <w:rPr>
        <w:rFonts w:hint="default"/>
      </w:rPr>
    </w:lvl>
    <w:lvl w:ilvl="5" w:tplc="4A5CFBFC">
      <w:numFmt w:val="bullet"/>
      <w:lvlText w:val="•"/>
      <w:lvlJc w:val="left"/>
      <w:pPr>
        <w:ind w:left="5740" w:hanging="360"/>
      </w:pPr>
      <w:rPr>
        <w:rFonts w:hint="default"/>
      </w:rPr>
    </w:lvl>
    <w:lvl w:ilvl="6" w:tplc="74A440B2">
      <w:numFmt w:val="bullet"/>
      <w:lvlText w:val="•"/>
      <w:lvlJc w:val="left"/>
      <w:pPr>
        <w:ind w:left="6664" w:hanging="360"/>
      </w:pPr>
      <w:rPr>
        <w:rFonts w:hint="default"/>
      </w:rPr>
    </w:lvl>
    <w:lvl w:ilvl="7" w:tplc="81D41558">
      <w:numFmt w:val="bullet"/>
      <w:lvlText w:val="•"/>
      <w:lvlJc w:val="left"/>
      <w:pPr>
        <w:ind w:left="7588" w:hanging="360"/>
      </w:pPr>
      <w:rPr>
        <w:rFonts w:hint="default"/>
      </w:rPr>
    </w:lvl>
    <w:lvl w:ilvl="8" w:tplc="3CBC43E8">
      <w:numFmt w:val="bullet"/>
      <w:lvlText w:val="•"/>
      <w:lvlJc w:val="left"/>
      <w:pPr>
        <w:ind w:left="8512" w:hanging="360"/>
      </w:pPr>
      <w:rPr>
        <w:rFonts w:hint="default"/>
      </w:rPr>
    </w:lvl>
  </w:abstractNum>
  <w:abstractNum w:abstractNumId="17" w15:restartNumberingAfterBreak="0">
    <w:nsid w:val="5BFD35F8"/>
    <w:multiLevelType w:val="hybridMultilevel"/>
    <w:tmpl w:val="4E8E0BD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15:restartNumberingAfterBreak="0">
    <w:nsid w:val="617A520E"/>
    <w:multiLevelType w:val="hybridMultilevel"/>
    <w:tmpl w:val="196C8E2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641A0CC6"/>
    <w:multiLevelType w:val="hybridMultilevel"/>
    <w:tmpl w:val="80AA8FF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66103040"/>
    <w:multiLevelType w:val="hybridMultilevel"/>
    <w:tmpl w:val="857C5B2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68C77249"/>
    <w:multiLevelType w:val="hybridMultilevel"/>
    <w:tmpl w:val="4C4C7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E63B0"/>
    <w:multiLevelType w:val="hybridMultilevel"/>
    <w:tmpl w:val="2DDCC40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710C248D"/>
    <w:multiLevelType w:val="hybridMultilevel"/>
    <w:tmpl w:val="C352D06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4" w15:restartNumberingAfterBreak="0">
    <w:nsid w:val="738F793A"/>
    <w:multiLevelType w:val="hybridMultilevel"/>
    <w:tmpl w:val="F2C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11"/>
  </w:num>
  <w:num w:numId="5">
    <w:abstractNumId w:val="4"/>
  </w:num>
  <w:num w:numId="6">
    <w:abstractNumId w:val="21"/>
  </w:num>
  <w:num w:numId="7">
    <w:abstractNumId w:val="12"/>
  </w:num>
  <w:num w:numId="8">
    <w:abstractNumId w:val="20"/>
  </w:num>
  <w:num w:numId="9">
    <w:abstractNumId w:val="8"/>
  </w:num>
  <w:num w:numId="10">
    <w:abstractNumId w:val="1"/>
  </w:num>
  <w:num w:numId="11">
    <w:abstractNumId w:val="10"/>
  </w:num>
  <w:num w:numId="12">
    <w:abstractNumId w:val="3"/>
  </w:num>
  <w:num w:numId="13">
    <w:abstractNumId w:val="5"/>
  </w:num>
  <w:num w:numId="14">
    <w:abstractNumId w:val="9"/>
  </w:num>
  <w:num w:numId="15">
    <w:abstractNumId w:val="24"/>
  </w:num>
  <w:num w:numId="16">
    <w:abstractNumId w:val="13"/>
  </w:num>
  <w:num w:numId="17">
    <w:abstractNumId w:val="0"/>
  </w:num>
  <w:num w:numId="18">
    <w:abstractNumId w:val="2"/>
  </w:num>
  <w:num w:numId="19">
    <w:abstractNumId w:val="6"/>
  </w:num>
  <w:num w:numId="20">
    <w:abstractNumId w:val="22"/>
  </w:num>
  <w:num w:numId="21">
    <w:abstractNumId w:val="18"/>
  </w:num>
  <w:num w:numId="22">
    <w:abstractNumId w:val="19"/>
  </w:num>
  <w:num w:numId="23">
    <w:abstractNumId w:val="15"/>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4"/>
    <w:rsid w:val="000269BA"/>
    <w:rsid w:val="00053B69"/>
    <w:rsid w:val="000831A2"/>
    <w:rsid w:val="00094B51"/>
    <w:rsid w:val="00097AD0"/>
    <w:rsid w:val="000A03E3"/>
    <w:rsid w:val="000B0CDF"/>
    <w:rsid w:val="00142650"/>
    <w:rsid w:val="00175E2B"/>
    <w:rsid w:val="00194ECA"/>
    <w:rsid w:val="00216D86"/>
    <w:rsid w:val="002251C0"/>
    <w:rsid w:val="00226D50"/>
    <w:rsid w:val="00234C9B"/>
    <w:rsid w:val="002554E6"/>
    <w:rsid w:val="002915B4"/>
    <w:rsid w:val="002A3C61"/>
    <w:rsid w:val="002E16D2"/>
    <w:rsid w:val="00334B8F"/>
    <w:rsid w:val="00345677"/>
    <w:rsid w:val="00351821"/>
    <w:rsid w:val="003929F1"/>
    <w:rsid w:val="00456407"/>
    <w:rsid w:val="00467F96"/>
    <w:rsid w:val="004C5C7E"/>
    <w:rsid w:val="00562CF5"/>
    <w:rsid w:val="005951D7"/>
    <w:rsid w:val="005B4198"/>
    <w:rsid w:val="006B42DF"/>
    <w:rsid w:val="006E5099"/>
    <w:rsid w:val="00715C84"/>
    <w:rsid w:val="00793AE4"/>
    <w:rsid w:val="007F73CF"/>
    <w:rsid w:val="00810A03"/>
    <w:rsid w:val="008136EB"/>
    <w:rsid w:val="00814B40"/>
    <w:rsid w:val="008279D9"/>
    <w:rsid w:val="00871426"/>
    <w:rsid w:val="008E2530"/>
    <w:rsid w:val="00943EF3"/>
    <w:rsid w:val="00972680"/>
    <w:rsid w:val="009A7C8A"/>
    <w:rsid w:val="009C255F"/>
    <w:rsid w:val="009C5088"/>
    <w:rsid w:val="009E58E4"/>
    <w:rsid w:val="009F68E5"/>
    <w:rsid w:val="009F7E5E"/>
    <w:rsid w:val="00A04DD6"/>
    <w:rsid w:val="00A40307"/>
    <w:rsid w:val="00A70B35"/>
    <w:rsid w:val="00AC2D1B"/>
    <w:rsid w:val="00AF17FE"/>
    <w:rsid w:val="00B11E6E"/>
    <w:rsid w:val="00B157B9"/>
    <w:rsid w:val="00B3177F"/>
    <w:rsid w:val="00B36695"/>
    <w:rsid w:val="00B66304"/>
    <w:rsid w:val="00BA05A3"/>
    <w:rsid w:val="00BC5654"/>
    <w:rsid w:val="00BF7FE5"/>
    <w:rsid w:val="00C2206A"/>
    <w:rsid w:val="00C41259"/>
    <w:rsid w:val="00C5402F"/>
    <w:rsid w:val="00C578B1"/>
    <w:rsid w:val="00C67B3C"/>
    <w:rsid w:val="00C76002"/>
    <w:rsid w:val="00C86594"/>
    <w:rsid w:val="00CE1E23"/>
    <w:rsid w:val="00D71CFB"/>
    <w:rsid w:val="00D76E5C"/>
    <w:rsid w:val="00D967BD"/>
    <w:rsid w:val="00DA4B31"/>
    <w:rsid w:val="00DB2A2B"/>
    <w:rsid w:val="00DF01F7"/>
    <w:rsid w:val="00E22182"/>
    <w:rsid w:val="00FB385C"/>
    <w:rsid w:val="00FB3D00"/>
    <w:rsid w:val="00FE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A05A"/>
  <w15:docId w15:val="{F2EACB6D-707E-4DAD-B710-98B1A7DF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664" w:right="585"/>
      <w:jc w:val="center"/>
      <w:outlineLvl w:val="0"/>
    </w:pPr>
    <w:rPr>
      <w:b/>
      <w:bCs/>
      <w:i/>
      <w:sz w:val="25"/>
      <w:szCs w:val="25"/>
    </w:rPr>
  </w:style>
  <w:style w:type="paragraph" w:styleId="Heading2">
    <w:name w:val="heading 2"/>
    <w:basedOn w:val="Normal"/>
    <w:uiPriority w:val="9"/>
    <w:unhideWhenUsed/>
    <w:qFormat/>
    <w:pPr>
      <w:ind w:left="107"/>
      <w:outlineLvl w:val="1"/>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28" w:hanging="360"/>
    </w:pPr>
  </w:style>
  <w:style w:type="paragraph" w:customStyle="1" w:styleId="TableParagraph">
    <w:name w:val="Table Paragraph"/>
    <w:basedOn w:val="Normal"/>
    <w:uiPriority w:val="1"/>
    <w:qFormat/>
    <w:pPr>
      <w:spacing w:before="60"/>
      <w:ind w:left="84"/>
    </w:pPr>
    <w:rPr>
      <w:rFonts w:ascii="Arial" w:eastAsia="Arial" w:hAnsi="Arial" w:cs="Arial"/>
    </w:rPr>
  </w:style>
  <w:style w:type="paragraph" w:styleId="NoSpacing">
    <w:name w:val="No Spacing"/>
    <w:uiPriority w:val="1"/>
    <w:qFormat/>
    <w:rsid w:val="005951D7"/>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labor/labor_laws/wagehour.html" TargetMode="External"/><Relationship Id="rId5" Type="http://schemas.openxmlformats.org/officeDocument/2006/relationships/hyperlink" Target="http://www.foreignlaborcert.dolet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Julie A</dc:creator>
  <cp:lastModifiedBy>Kramer, Julie A</cp:lastModifiedBy>
  <cp:revision>64</cp:revision>
  <dcterms:created xsi:type="dcterms:W3CDTF">2021-06-09T16:21:00Z</dcterms:created>
  <dcterms:modified xsi:type="dcterms:W3CDTF">2022-12-28T14:06:00Z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Acrobat PDFMaker 15 for Word</vt:lpwstr>
  </property>
  <property fmtid="{D5CDD505-2E9C-101B-9397-08002B2CF9AE}" pid="4" name="LastSaved">
    <vt:filetime>2019-08-12T00:00:00Z</vt:filetime>
  </property>
</Properties>
</file>